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E3" w:rsidRPr="00801177" w:rsidRDefault="001446E3" w:rsidP="001446E3">
      <w:pPr>
        <w:jc w:val="both"/>
        <w:rPr>
          <w:rFonts w:ascii="Arial Narrow" w:hAnsi="Arial Narrow"/>
          <w:b/>
          <w:sz w:val="26"/>
          <w:szCs w:val="26"/>
        </w:rPr>
      </w:pPr>
      <w:r w:rsidRPr="00801177">
        <w:rPr>
          <w:rFonts w:ascii="Arial Narrow" w:hAnsi="Arial Narrow"/>
          <w:b/>
          <w:sz w:val="26"/>
          <w:szCs w:val="26"/>
        </w:rPr>
        <w:t>EL TRIBUNAL ARBITRAL INSTITUCIONAL DEL COLEGIO DE ABOGADOS DE LOMAS DE ZAMORA.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</w:p>
    <w:p w:rsidR="001446E3" w:rsidRPr="00801177" w:rsidRDefault="001446E3" w:rsidP="001446E3">
      <w:pPr>
        <w:jc w:val="both"/>
        <w:rPr>
          <w:rFonts w:ascii="Arial Narrow" w:hAnsi="Arial Narrow"/>
          <w:b/>
          <w:sz w:val="26"/>
          <w:szCs w:val="26"/>
        </w:rPr>
      </w:pPr>
      <w:r w:rsidRPr="00801177">
        <w:rPr>
          <w:rFonts w:ascii="Arial Narrow" w:hAnsi="Arial Narrow"/>
          <w:b/>
          <w:sz w:val="26"/>
          <w:szCs w:val="26"/>
        </w:rPr>
        <w:t>BREVE RESEÑA.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tribunal de arbitraje institucional del Colegio de Abogados de Lomas de Zamora tuvo su primera integración y funcionamiento en abril de 1998. En esa primera oportunidad se integraron y funcionaron tres salas Civil, Comercial y del Mercosur.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 creación de este método y servicio alternativo de resolución de conflictos complementario a la administración de justicia   deviene de las atribuciones y funciones que le son propias al Colegio, Art. 19, inc. 18 ley 5.177 reformada por Ley 12.277.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arbitraje institucional que pone a disposición de los justiciables nuestra entidad rectora sustituye al poder del estado, sino que resulta ser un servicio </w:t>
      </w:r>
      <w:proofErr w:type="gramStart"/>
      <w:r>
        <w:rPr>
          <w:rFonts w:ascii="Arial Narrow" w:hAnsi="Arial Narrow"/>
          <w:sz w:val="26"/>
          <w:szCs w:val="26"/>
        </w:rPr>
        <w:t>complementario  al</w:t>
      </w:r>
      <w:proofErr w:type="gramEnd"/>
      <w:r>
        <w:rPr>
          <w:rFonts w:ascii="Arial Narrow" w:hAnsi="Arial Narrow"/>
          <w:sz w:val="26"/>
          <w:szCs w:val="26"/>
        </w:rPr>
        <w:t xml:space="preserve"> poder judicial.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Conforme el reglamento de arbitraje institucional aprobado por el consejo directico y que forma parte de esta plataforma virtual el consejo directivo llamo a concurso de antecedentes a postulantes a árbitros titulares para la conformación e integración de una SALA CIVIL Y COMERCIAL. Dicho proceso se desarrolló </w:t>
      </w:r>
      <w:proofErr w:type="gramStart"/>
      <w:r>
        <w:rPr>
          <w:rFonts w:ascii="Arial Narrow" w:hAnsi="Arial Narrow"/>
          <w:sz w:val="26"/>
          <w:szCs w:val="26"/>
        </w:rPr>
        <w:t>durante  el</w:t>
      </w:r>
      <w:proofErr w:type="gramEnd"/>
      <w:r>
        <w:rPr>
          <w:rFonts w:ascii="Arial Narrow" w:hAnsi="Arial Narrow"/>
          <w:sz w:val="26"/>
          <w:szCs w:val="26"/>
        </w:rPr>
        <w:t xml:space="preserve"> mes de Julio del  año 2019. 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El resultado de dicho concurso quedo plasmado en el acta Nº 1.203. Procediendo a la integración del tribunal cuya puesta en funcionamiento formalmente se concretó en el mes de </w:t>
      </w:r>
      <w:proofErr w:type="gramStart"/>
      <w:r>
        <w:rPr>
          <w:rFonts w:ascii="Arial Narrow" w:hAnsi="Arial Narrow"/>
          <w:sz w:val="26"/>
          <w:szCs w:val="26"/>
        </w:rPr>
        <w:t>Junio</w:t>
      </w:r>
      <w:proofErr w:type="gramEnd"/>
      <w:r>
        <w:rPr>
          <w:rFonts w:ascii="Arial Narrow" w:hAnsi="Arial Narrow"/>
          <w:sz w:val="26"/>
          <w:szCs w:val="26"/>
        </w:rPr>
        <w:t xml:space="preserve"> del 2020.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Dicha composición ha quedado establecida </w:t>
      </w:r>
      <w:proofErr w:type="gramStart"/>
      <w:r>
        <w:rPr>
          <w:rFonts w:ascii="Arial Narrow" w:hAnsi="Arial Narrow"/>
          <w:sz w:val="26"/>
          <w:szCs w:val="26"/>
        </w:rPr>
        <w:t>para  el</w:t>
      </w:r>
      <w:proofErr w:type="gramEnd"/>
      <w:r>
        <w:rPr>
          <w:rFonts w:ascii="Arial Narrow" w:hAnsi="Arial Narrow"/>
          <w:sz w:val="26"/>
          <w:szCs w:val="26"/>
        </w:rPr>
        <w:t xml:space="preserve"> ejercicio 2021/2021 por el Dr. Eduardo Daniel  </w:t>
      </w:r>
      <w:proofErr w:type="spellStart"/>
      <w:r>
        <w:rPr>
          <w:rFonts w:ascii="Arial Narrow" w:hAnsi="Arial Narrow"/>
          <w:sz w:val="26"/>
          <w:szCs w:val="26"/>
        </w:rPr>
        <w:t>Balonas</w:t>
      </w:r>
      <w:proofErr w:type="spellEnd"/>
      <w:r>
        <w:rPr>
          <w:rFonts w:ascii="Arial Narrow" w:hAnsi="Arial Narrow"/>
          <w:sz w:val="26"/>
          <w:szCs w:val="26"/>
        </w:rPr>
        <w:t xml:space="preserve"> como Presidente, la Dra. Fabiana </w:t>
      </w:r>
      <w:proofErr w:type="spellStart"/>
      <w:r>
        <w:rPr>
          <w:rFonts w:ascii="Arial Narrow" w:hAnsi="Arial Narrow"/>
          <w:sz w:val="26"/>
          <w:szCs w:val="26"/>
        </w:rPr>
        <w:t>Miguez</w:t>
      </w:r>
      <w:proofErr w:type="spellEnd"/>
      <w:r>
        <w:rPr>
          <w:rFonts w:ascii="Arial Narrow" w:hAnsi="Arial Narrow"/>
          <w:sz w:val="26"/>
          <w:szCs w:val="26"/>
        </w:rPr>
        <w:t xml:space="preserve"> Fernández como Vicepresidente y el Dr. Mauricio Esteban Naranjo Sosa como Vocal. Ha sido designada como Secretaria del Tribunal la Dra. Mariel E. Suarez.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Adjuntamos a continuación a </w:t>
      </w:r>
      <w:proofErr w:type="spellStart"/>
      <w:r>
        <w:rPr>
          <w:rFonts w:ascii="Arial Narrow" w:hAnsi="Arial Narrow"/>
          <w:sz w:val="26"/>
          <w:szCs w:val="26"/>
        </w:rPr>
        <w:t>titulo</w:t>
      </w:r>
      <w:proofErr w:type="spellEnd"/>
      <w:r>
        <w:rPr>
          <w:rFonts w:ascii="Arial Narrow" w:hAnsi="Arial Narrow"/>
          <w:sz w:val="26"/>
          <w:szCs w:val="26"/>
        </w:rPr>
        <w:t xml:space="preserve"> informativo los antecedentes académicos y de formación de </w:t>
      </w:r>
      <w:proofErr w:type="gramStart"/>
      <w:r>
        <w:rPr>
          <w:rFonts w:ascii="Arial Narrow" w:hAnsi="Arial Narrow"/>
          <w:sz w:val="26"/>
          <w:szCs w:val="26"/>
        </w:rPr>
        <w:t>los  árbitros</w:t>
      </w:r>
      <w:proofErr w:type="gramEnd"/>
      <w:r>
        <w:rPr>
          <w:rFonts w:ascii="Arial Narrow" w:hAnsi="Arial Narrow"/>
          <w:sz w:val="26"/>
          <w:szCs w:val="26"/>
        </w:rPr>
        <w:t xml:space="preserve"> designados. Les deseamos el mayor de los éxitos en la tarea a emprender.</w:t>
      </w: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</w:p>
    <w:p w:rsidR="001446E3" w:rsidRDefault="001446E3" w:rsidP="001446E3">
      <w:pPr>
        <w:jc w:val="both"/>
        <w:rPr>
          <w:rFonts w:ascii="Arial Narrow" w:hAnsi="Arial Narrow"/>
          <w:sz w:val="26"/>
          <w:szCs w:val="26"/>
        </w:rPr>
      </w:pPr>
    </w:p>
    <w:p w:rsidR="001446E3" w:rsidRPr="00801177" w:rsidRDefault="001446E3" w:rsidP="001446E3">
      <w:pPr>
        <w:jc w:val="both"/>
        <w:rPr>
          <w:rFonts w:ascii="Arial Narrow" w:hAnsi="Arial Narrow"/>
          <w:b/>
          <w:sz w:val="26"/>
          <w:szCs w:val="26"/>
        </w:rPr>
      </w:pPr>
      <w:r w:rsidRPr="00801177">
        <w:rPr>
          <w:rFonts w:ascii="Arial Narrow" w:hAnsi="Arial Narrow"/>
          <w:b/>
          <w:sz w:val="26"/>
          <w:szCs w:val="26"/>
        </w:rPr>
        <w:lastRenderedPageBreak/>
        <w:t>SU CONFORMACION ACTUAL. SUS INTEGRANTES.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CURRICULUM VITAE.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2FAD"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361B1CD7" wp14:editId="492E2A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49350" cy="1561465"/>
            <wp:effectExtent l="0" t="0" r="0" b="635"/>
            <wp:wrapThrough wrapText="bothSides">
              <wp:wrapPolygon edited="0">
                <wp:start x="0" y="0"/>
                <wp:lineTo x="0" y="21345"/>
                <wp:lineTo x="21123" y="21345"/>
                <wp:lineTo x="2112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1" t="21962" r="30738" b="36833"/>
                    <a:stretch/>
                  </pic:blipFill>
                  <pic:spPr bwMode="auto">
                    <a:xfrm>
                      <a:off x="0" y="0"/>
                      <a:ext cx="1149350" cy="1561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Dr. E. Daniel </w:t>
      </w:r>
      <w:proofErr w:type="spellStart"/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>Balonas</w:t>
      </w:r>
      <w:proofErr w:type="spellEnd"/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CONTADOR PÚBLICO ABOGADO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Títulos Profesionales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1. Contador Público, U.N.L.Z., Facultad de Ciencias Económicas, julio 1993.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 Abogado, U.N.L.Z., Facultad de Derecho, julio 1998.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Doctorando en el Doctorado en Derecho de la Facultad de Derecho de la Universidad Nacional de Lomas de Zamora. Tesis en elaboración.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Actividad Institucional – Arbitraje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1. Árbitro. Miembro Titular de la Sala Civil y Comercial del Tribunal de Arbitraje Institucional del Colegio de Abogados de Lomas de Zamora.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Actividad Académica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(se indican las principales)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1. Miembro del Instituto Argentino de Derecho Comercial desde el año 2006.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 Miembro del Instituto de Derecho Societario del C.P.A.C.F. desde el año 2007.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Miembro del Instituto de Derecho Comercial de la Facultad de Derecho de la U.N.L.Z.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4. Ex Secretario Académico del Instituto de Derecho Comercial del C.A.L.Z. (período 2003 a 2011)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5. Ex Presidente de la Comisión de Estudios Societarios y del Derecho Mercantil del C.P.C.E.C.A.B.A. Ex Presidente durante el período 2007 a 2010 y Vicepresidente desde 2013 a 2019. Miembro desde el año 2000.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Principales Publicaciones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(se indican las más importantes y recientes)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1. “Concursos y Quiebras. Ley 24522 comentada, anotada y concordada”, en coautoría (Director Héctor Osvaldo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Chomer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), Ed.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Astrea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abril de 2016, ISBN 978-987-706-115-4.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2. “La nulidad de las asambleas cuando no se las convocó personalmente y era costumbre hacerlo. Comentario al fallo '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Chimondeguy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c/ Pucará S.A.'" bajo la cita MJD6657, en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Microjuris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el 8/4/2014.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“Tratado de los Conflictos Societarios”, en coautoría (Director Diego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Duprat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),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Abeledo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Perrot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Noviembre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2013, ISBN 978-950-20-2557-5.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4. “El Derecho de los Trabajadores a Participar en las Ganancias de las Empresas. Una Propuesta”, en “Los Derechos de los Trabajadores en las Sociedades y los Concursos”, IADC – 2012. Ed.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Legis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Buenos Aires, junio 2012, ISBN 978-987-1221-88-2.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5. “El Uso del Fideicomiso como Forma Jurídica de la Empresa y los Negocios Jurídicos Indirectos”, en “El Fideicomiso en las Sociedades y en los Concursos”, IADC-2011, Ed.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Legis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Buenos Aires, junio 2011, ISBN 978-987-1221-73-8.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6. "Problemática en torno a la adopción de decisiones de gobierno en las S. R. L." bajo la cita MJD6435 en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Microjuris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19/9/2013.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7. “Las Sociedades de Plazo Vencido y la Irregularidad Societaria” en “Revista de las Sociedades y los Concursos” Año 14 – 2013, Nº 2, ISSN 1514-9064.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8. “Las sociedades de un solo socio en el proyecto de unificación de los Códigos Civil y Comercial. La relativa aplicación de las limitaciones aparentemente impuestas” bajo la cita MJD6198, en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Microjuris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14/3/2013.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9. “El Derecho al Dividendo”, en “Revista de las Sociedades y los Concursos” Año 12 – 2011, Nº 2, ISSN 1514-9064.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lastRenderedPageBreak/>
        <w:t xml:space="preserve">10. “L.B.O. o ¿Cómo hacer negocios sin arriesgar capital?”, en “Reestructuración y Reorganización Empresarial en las Sociedades y los Concursos”, IADC-2010, Ed.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Legis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Buenos Aires, junio 2010, ISBN 978-987- 1221-58-5.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11. “La Rendición de Cuentas en la Sociedad de Hecho”, en “Revista de las Sociedades y los Concursos” Año 11 – 2010 Nº 3, ISSN 1514-9064.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12. “Responsabilidad de los Administradores por Deudas Laborales” en “La Responsabilidad de los Administradores en las Sociedades y los Concursos”, IADC – 2009, Ed.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Legis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Buenos Aires, mayo 2009, ISBN 978-987-1221-45-5.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13. “Responsabilidad de Administradores sociales por Deudas Laborales”,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Errepar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Doctrina Societaria y Concursal,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Enero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2008.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14. “Verificación de Créditos”, en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co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-autoría, en “Temas Actuales de Derecho Concursal”, Editorial Ad-Hoc, noviembre de 2007, ISBN 978-950-99274-1-4.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15. Acciones de Recomposición Patrimonial, en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Errepar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, “Práctica y Actualidad Concursal” Nº 84, febrero de 2007.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16. “Acciones de Recomposición Patrimonial”, en “La Tutela de los Acreedores en los Procesos Concursales”, Editorial Ad-Hoc, noviembre de 2006, ISBN 950-894-611-3. Además de muchos otros artículos en revistas de la especialidad y más de 100 ponencias presentadas y publicadas en los libros de ponencias de congresos y jornadas, así como artículos publicados en revistas de la especialidad y colaboraciones en libros colectivos.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Docencia.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1. Profesor Titular de la cátedra A de “Personas Jurídicas Privadas” de la Facultad de Derecho de la Universidad Nacional de Lomas de Zamora. Profesor desde el 1-8-2000, designado adjunto ordinario por concurso desde el año 2011 y titular en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Marzo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2020.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 Docente adjunto de la cátedra A de “Derecho Comercial II” (Concursos y Quiebras) de la Facultad de ciencias Económicas de la Universidad Nacional de Lomas de Zamora desde el 1-10-2006.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Integrante del cuerpo docente de la DAC (Dirección Académica y del Conocimiento) del Consejo Profesional de Ciencias Económicas de la Ciudad Autónoma de Buenos Aires.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Actividad Profesional: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Consultor de Empresas y abogado litigante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: Desde 1993 titular del Estudio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Balonas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y Asociados, que asesora a empresas comerciales, industriales y prestadoras de servicios en concursos y quiebras, sociedades, derecho tributario, temas fiscales y laborales, tanto en aspectos profesionales como en los relacionados con la conducción del personal. También representándolos en litigios judiciales y ante autoridades administrativas. 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  <w:t>Perito Contador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: Desde el año 1994 y hasta el año 1999, perito contador de oficio en el Departamento Judicial de Lomas de Zamora y en los Juzgados Nacionales con asiento en la Ciudad de Buenos Aires, en los fueros Civil y Comercial</w:t>
      </w: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  <w:bookmarkStart w:id="0" w:name="_GoBack"/>
      <w:bookmarkEnd w:id="0"/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1416" w:firstLine="708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before="100" w:beforeAutospacing="1" w:after="100" w:afterAutospacing="1" w:line="312" w:lineRule="auto"/>
        <w:rPr>
          <w:rFonts w:ascii="Arial" w:eastAsia="Arial Unicode MS" w:hAnsi="Arial" w:cs="Arial"/>
          <w:sz w:val="18"/>
          <w:szCs w:val="18"/>
          <w:u w:val="single"/>
          <w:lang w:val="es-ES" w:eastAsia="es-ES"/>
        </w:rPr>
      </w:pPr>
      <w:r w:rsidRPr="00AB2FAD">
        <w:rPr>
          <w:rFonts w:ascii="Arial" w:eastAsia="Arial Unicode MS" w:hAnsi="Arial" w:cs="Arial"/>
          <w:b/>
          <w:noProof/>
          <w:sz w:val="18"/>
          <w:szCs w:val="18"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0B33FF4F" wp14:editId="64D6338B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77925" cy="1572895"/>
            <wp:effectExtent l="0" t="0" r="3175" b="8255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FAD"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Arial Unicode MS" w:hAnsi="Arial" w:cs="Arial"/>
          <w:b/>
          <w:sz w:val="18"/>
          <w:szCs w:val="18"/>
          <w:u w:val="single"/>
          <w:lang w:val="es-ES" w:eastAsia="es-ES"/>
        </w:rPr>
        <w:t>CURRICULUM VITAE</w:t>
      </w:r>
      <w:r w:rsidRPr="00AB2FAD">
        <w:rPr>
          <w:rFonts w:ascii="Arial" w:eastAsia="Arial Unicode MS" w:hAnsi="Arial" w:cs="Arial"/>
          <w:sz w:val="18"/>
          <w:szCs w:val="18"/>
          <w:lang w:val="es-ES" w:eastAsia="es-ES"/>
        </w:rPr>
        <w:t xml:space="preserve">           </w:t>
      </w:r>
    </w:p>
    <w:p w:rsidR="001446E3" w:rsidRPr="00AB2FAD" w:rsidRDefault="001446E3" w:rsidP="001446E3">
      <w:pPr>
        <w:spacing w:after="0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Antecedentes Personales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Apellido y Nombres: </w:t>
            </w:r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MIGUEZ FABIANA MARCELA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Lugar de Nacimiento: Lomas de Zamora             </w:t>
            </w:r>
          </w:p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Fecha de Nacimiento: 12/09/1965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Nacionalidad: argentina                                       </w:t>
            </w:r>
          </w:p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Estado Civil: casada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Documento de Identidad: DNI nº 17.429.848</w:t>
            </w:r>
          </w:p>
        </w:tc>
      </w:tr>
    </w:tbl>
    <w:p w:rsidR="001446E3" w:rsidRPr="00AB2FAD" w:rsidRDefault="001446E3" w:rsidP="001446E3">
      <w:pPr>
        <w:spacing w:after="0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Estudios Realizados y títulos obtenidos 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 grado: Abogacía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Entidad Otorgante: Universidad Nacional de Lomas de Zamora – Facultad de Derecho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Año: 1987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De Post-Grado: 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gramStart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&amp;.-</w:t>
            </w:r>
            <w:proofErr w:type="gramEnd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Especialización en Derecho de Familia y Sucesorio – Entidad Otorgante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: Universidad Nacional de Lomas de Zamora – Facultad de Derecho Año: 2007.-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Diplomado en Arbitraje, Universidad AUSTRAL, DERECHO, aprobada, cursada del 31 de mayo de 2018 al 13 de diciembre de 2018. Fecha de expedición de Certificado, 03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Abril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2019.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gramStart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&amp;.-</w:t>
            </w:r>
            <w:proofErr w:type="gramEnd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Profesorado Universitario en Ciencias Jurídicas y Sociales UNLZ - Derecho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cursado desde Marzo 2017 al 30 de junio de 2019, Aprobado, con Título en Trámite.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proofErr w:type="gramStart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&amp;.-</w:t>
            </w:r>
            <w:proofErr w:type="gramEnd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Especialista en Medios Alternativos de Resolución de Conflictos, UNLZ, Derecho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, aprobada en Marzo 2019, Título en trámite.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Asistente del Programa de Formación brindado por </w:t>
            </w:r>
            <w:proofErr w:type="spell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Doinglobal</w:t>
            </w:r>
            <w:proofErr w:type="spell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y la Universidad de Salamanca, en el </w:t>
            </w:r>
            <w:proofErr w:type="gramStart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&amp;.-</w:t>
            </w:r>
            <w:proofErr w:type="gramEnd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 xml:space="preserve"> </w:t>
            </w:r>
            <w:r w:rsidRPr="00AB2FAD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es-ES" w:eastAsia="es-ES"/>
              </w:rPr>
              <w:t>Curso Superior en Abordaje Jurídico Actual de la Violencia de Género de la Universidad de Salamanca</w:t>
            </w:r>
            <w:r w:rsidRPr="00AB2FAD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val="es-ES" w:eastAsia="es-ES"/>
              </w:rPr>
              <w:t xml:space="preserve"> </w:t>
            </w:r>
            <w:r w:rsidRPr="00AB2FAD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es-ES" w:eastAsia="es-ES"/>
              </w:rPr>
              <w:t xml:space="preserve">&amp; </w:t>
            </w:r>
            <w:proofErr w:type="spellStart"/>
            <w:r w:rsidRPr="00AB2FAD">
              <w:rPr>
                <w:rFonts w:ascii="Arial" w:eastAsia="Times New Roman" w:hAnsi="Arial" w:cs="Arial"/>
                <w:b/>
                <w:bCs/>
                <w:sz w:val="18"/>
                <w:szCs w:val="18"/>
                <w:shd w:val="clear" w:color="auto" w:fill="FFFFFF"/>
                <w:lang w:val="es-ES" w:eastAsia="es-ES"/>
              </w:rPr>
              <w:t>doinGlobal</w:t>
            </w:r>
            <w:proofErr w:type="spellEnd"/>
            <w:r w:rsidRPr="00AB2FAD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FFFFFF"/>
                <w:lang w:val="es-ES" w:eastAsia="es-ES"/>
              </w:rPr>
              <w:t>. Dictado por la Universidad de Salamanca (España)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 w:eastAsia="es-ES"/>
              </w:rPr>
              <w:t xml:space="preserve"> – Aprobado, Titulo expedido en Salamanca, España el 19 de septiembre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 w:eastAsia="es-ES"/>
              </w:rPr>
              <w:t>2019,con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val="es-ES" w:eastAsia="es-ES"/>
              </w:rPr>
              <w:t xml:space="preserve"> Apostilla de La Haya legalizado en fecha 07/10/2019. Modalidad virtual.</w:t>
            </w:r>
          </w:p>
        </w:tc>
      </w:tr>
    </w:tbl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Distinciones – Premios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Año 1987 – Medalla de Honor mejor promedio II Colación de grado de UNLZ – Facultad de Abogacía.-</w:t>
            </w:r>
          </w:p>
        </w:tc>
      </w:tr>
    </w:tbl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Antecedentes docentes y de investigación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rPr>
          <w:trHeight w:val="699"/>
        </w:trPr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01/08/1987 Ayudante de 1º con 1 dedicación simple con carácter ad honorem en la cátedra A de la asignatura “Derecho Internacional Privado” de la Facultad de Abogacía de la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UNLZ.-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08/08/1987 Ayudante de 2º interino con carácter ad honorem en la Cátedra “Derecho Procesal Penal y Correccional” (Cátedra 1) de la Facultad de Abogacía de la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UNLZ.-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01/03/2007 Profesor Jefe de Trabajos Prácticos Interino (JTP) con dedicación ad honorem (ad9, por Resolución CA 002/07, en la asignatura (09) M09 – Derecho Civil II – UNLZ – Facultad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Derecho.-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01/03/2017 al 31/07/2017 y 01/08/2017 a 31/12/2017 Profesor Derecho Internacional Privado Catedra Dr. Núñez Alejandro Resolución CA-0145/17 JTP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ADH.-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UNLZ.-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01/03/2018 al 31/07/2018 y 01/08/2018 Profesor Derecho Internacional Privado Catedra Dr. Núñez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Alejandro  JTP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Rentado.- UNLZ.-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Primer Cuatrimestre año 2018, corresponsable Extensión Universitaria UNLZ Zarate, Provincia de Buenos Aires.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Segundo Cuatrimestre año 2018, corresponsable Extensión Universitaria UNLZ Olavarría, Provincia de Buenos Aires.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01/02/19 al 28/02/2019: Curso de Orientación y Formación, COF 2019, Designación CA-00727/19. JTP Rentado. UNLZ.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01/03/19 al 31/07/19 y 01/08/2019 al 31/12/2019 Profesor Derecho Internacional Privado Cátedra Dr. Núñez, JTP, Rentado, UNLZ. 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Primer Cuatrimestre año 2019, corresponsable Extensión Universitaria UNLZ Zarate, Provincia de Buenos Aires.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01/02/20 al 28/02/2020: Curso de Orientación y Formación, COF 2020, Designación Consejo Académico. JTP Rentado. UNLZ</w:t>
            </w:r>
          </w:p>
        </w:tc>
      </w:tr>
    </w:tbl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 Cargos y funciones desempeñados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08.1 Tipo: Auxiliar 4º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Fecha Inicio: 30/06/1987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Fecha Terminación: 1989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Lugar: Jugado Penal nº 6 Departamento Judicial Lomas de Zamora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08.2 En Instituciones Académicas y Científicas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08.3 En la función pública no universitaria</w:t>
            </w:r>
          </w:p>
        </w:tc>
      </w:tr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08.4 Profesionales: Ejercicio de la profesión a partir de 1989.-</w:t>
            </w:r>
          </w:p>
        </w:tc>
      </w:tr>
    </w:tbl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 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 </w:t>
      </w: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OTROS ANTECEDENTES</w:t>
      </w: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1446E3" w:rsidRPr="00AB2FAD" w:rsidTr="00C0353C">
        <w:tc>
          <w:tcPr>
            <w:tcW w:w="8500" w:type="dxa"/>
          </w:tcPr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29/98/1986 – Jornadas sobre Última reforma Procesal Penal de la Provincia de Buenos Aires – Federación Argentina de Colegios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Abogados.-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29/12/1987 – Curso de capacitación docente sobre “Rol docente y dinámica de grupos” – UNLZ – Facultad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Derecho.-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15/12/1989 – Curso de capacitación pedagógica para docentes, nivel II, UNLZ- Facultad de Derecho – Dirección Técnica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Pedagógica.-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26/10/1990 – Curso de “Aspectos fundamentales del Derecho Procesal Penal” – CALZ – Instituto de Derecho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Penal.-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03/09/1993 – Curso sobre Los Delitos Económicos y la Ley Penal Tributaria y Previsional 23.771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”.-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CALZ – Instituto de Derecho y Ciencias Penales.-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24 y 25/04/2009 – XI Encuentro del Foro de Institutos de Derecho del Trabajo de los Colegios de Abogados de la Provincia de Buenos Aires – CALZ – Área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Académica.-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Año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2005:-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Curso de Mediación ante el CALZ, MEDIADOR, Matricula Tomo 2, Folio 04, CALZ.-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Año 2007 </w:t>
            </w:r>
            <w:r w:rsidRPr="00AB2FAD">
              <w:rPr>
                <w:rFonts w:ascii="Arial" w:eastAsia="Times New Roman" w:hAnsi="Arial" w:cs="Arial"/>
                <w:b/>
                <w:i/>
                <w:sz w:val="18"/>
                <w:szCs w:val="18"/>
                <w:lang w:val="es-ES" w:eastAsia="es-ES"/>
              </w:rPr>
              <w:t>MAESTRIA EN DERECHO DE FAMILIA Y SUCESIONES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, Universidad Nacional de Lomas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Zamora.-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Fecha de expedición de Título 13/09/2016.-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27/04/2012 – Matrícula de MEDIADOR (previa obligatoria) para ejercer en el Departamento Judicial Lomas de Zamora – Subsecretaría de Justicia – Dirección Provincial de Medios Alternativos de Resolución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Conflictos.-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Nov/2013 – Curso de Capacitación Anual Obligatoria 2012-2013 “Análisis de situaciones de conflicto” -  Fundación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CIJUSO.-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27 y 28/08/2014 – II Encuentro Federal de Mediadores – II Jornadas Provinciales de Mediadores – Ministerio de Justicia de la Provincia de Buenos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Aires.-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30/09/2014 – Curso de Capacitación continua para Mediadores de la Provincia de Buenos Aires “Mediación Transformativa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”.-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Julio/2015 – Programa de Capacitación continua para Mediadores Prejudiciales – UNLZ – Facultad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Derecho.-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20 y 21/08/2015 – III Jornada Provincial de Mediación – Ministerio de Justicia de la Provincia de Buenos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Aires.-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6,13,20,27/08 y 3,10,17 y 24/09/2015 – Seminario Nuevo Código Civil y Comercial de la Nación – Thomson Reuters La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Ley.-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(Entre Otros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).-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Prácticas en mediación a distancia – Herramientas para el mediador – Dictado por ODR Latinoamérica/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SIMEDIAR.-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Mediación y Conciliación en conflictos del consumidor. Dictado por la Dra. Juana </w:t>
            </w:r>
            <w:proofErr w:type="spell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Dioguardi</w:t>
            </w:r>
            <w:proofErr w:type="spell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– Lomas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Zamora.-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Tensión, emociones, escaladas. Intervenciones en el pro eso del operador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conflictos.-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Dictado por la Dra. M. Rosa Ávila – Cecilia </w:t>
            </w:r>
            <w:proofErr w:type="spell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Figueiras</w:t>
            </w:r>
            <w:proofErr w:type="spell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.- Lomas de Zamora.-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Curso Introductorio a las ODR dictado por SIMEDIAR – Director del curso: Dr. Alberto </w:t>
            </w:r>
            <w:proofErr w:type="spellStart"/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Elisavetsky</w:t>
            </w:r>
            <w:proofErr w:type="spell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Mediación transformativa CIJUSO (Videoconferencia)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FOLGER.-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La cuestiones procesales en mediación (Lomas de Zamora)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DIOGUARDI.-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 xml:space="preserve">Jurisprudencia en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mediación.-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Análisis de casos. Cuestiones que revelan los primeros fallos a partir de la implementación de la ley 13.951.-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El acuerdo en mediación (LZ) dictado por el Dr.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Stefano.-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Jornadas de Medición de la Plata 2014 – Jornadas propias del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Ministerio.-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Jornadas organizadas por el Ministerio de Justicia de la Provincia de Buenos Aires, en mar del Plata, los días 20 y 21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Agosto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2015.-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Ponencia CONGRESO DE DERECHO INTERNACIONAL PRIVADO – MENDOZA año 2017.- Coautora, conjuntamente con la Dra. Alejandra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Villanueva.-</w:t>
            </w:r>
            <w:proofErr w:type="gramEnd"/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Ponencia en las Jornadas Provinciales de Acceso a Justicia y Métodos de Prevención, Gestión y Resolución de Conflictos celebradas los días 13 y 14 de noviembre de 2017, </w:t>
            </w:r>
            <w:hyperlink r:id="rId6" w:history="1">
              <w:r w:rsidRPr="00AB2FAD">
                <w:rPr>
                  <w:rFonts w:ascii="Arial" w:eastAsia="Times New Roman" w:hAnsi="Arial" w:cs="Arial"/>
                  <w:sz w:val="18"/>
                  <w:szCs w:val="18"/>
                  <w:u w:val="single"/>
                  <w:lang w:val="es-ES" w:eastAsia="es-ES"/>
                </w:rPr>
                <w:t>Comisión 1: </w:t>
              </w:r>
              <w:r w:rsidRPr="00AB2FAD">
                <w:rPr>
                  <w:rFonts w:ascii="Arial" w:eastAsia="Times New Roman" w:hAnsi="Arial" w:cs="Arial"/>
                  <w:b/>
                  <w:bCs/>
                  <w:sz w:val="18"/>
                  <w:szCs w:val="18"/>
                  <w:u w:val="single"/>
                  <w:lang w:val="es-ES" w:eastAsia="es-ES"/>
                </w:rPr>
                <w:t>Fabiana MIGUEZ </w:t>
              </w:r>
              <w:r w:rsidRPr="00AB2FAD">
                <w:rPr>
                  <w:rFonts w:ascii="Arial" w:eastAsia="Times New Roman" w:hAnsi="Arial" w:cs="Arial"/>
                  <w:sz w:val="18"/>
                  <w:szCs w:val="18"/>
                  <w:u w:val="single"/>
                  <w:lang w:val="es-ES" w:eastAsia="es-ES"/>
                </w:rPr>
                <w:t>- GESTIONAR EL CONFLICTO</w:t>
              </w:r>
            </w:hyperlink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 La misma fue publicada en la Revista EJ EDITORES Revista de Negociación, Mediación, Conciliación y Métodos RAD – Número 12 – abril 2018.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Expositora en el Colegio de Abogados de Lomas de Zamora – Noveles Abogados por el Instituto de Derecho de Familia 09 de mayo de 2017. 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Expositora en el Colegio de Abogados de Lomas de Zamora – Noveles Abogados por el Instituto de Derecho de Familia 09 de octubre de 2018. 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Participante en Jornadas Provinciales de Métodos Apropiados de Prevención, Gestión y Resolución de Conflictos como forma de acceso a justicia. La Plata, 12 y 13 de noviembre de 2018.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Año 2018, </w:t>
            </w:r>
            <w:r w:rsidRPr="00AB2FAD">
              <w:rPr>
                <w:rFonts w:ascii="Arial" w:eastAsia="Times New Roman" w:hAnsi="Arial" w:cs="Arial"/>
                <w:i/>
                <w:sz w:val="18"/>
                <w:szCs w:val="18"/>
                <w:lang w:val="es-ES" w:eastAsia="es-ES"/>
              </w:rPr>
              <w:t>Diplomatura en Arbitraje, Universidad AUSTRAL, DERECHO</w:t>
            </w: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, aprobada, cursada del 31 de mayo de 2018 al 13 de diciembre de 2018. Fecha de expedición de Certificado, 03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Abril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2019.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Asistente al Taller de Actualización en cuestiones prácticas de la mediación y normativa vigente, celebradas en el Colegio de Abogados de Lomas de Zamora, Provincia de Buenos Aires, en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Marzo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2019.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Año 2019, Designación previo concurso de antecedentes y oposición de ARBITRO de la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Sala  Arbitral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en lo Civil y Comercial nro. 1 del Tribunal Arbitral del Colegio de Abogados de Lomas de Zamora.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Expositor en el Ciclo de Charlas de Arbitraje realizadas los días 06, 13 y 20 de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Septiembre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de 2019, en la Facultad de Derecho de la Universidad Nacional de Lomas de Zamora.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Tutor en las Jornadas de Capacitación Semipresenciales a Operadores de Conflictos, Constructores de Paz, Resolución DI 46/2019, realizadas en el Colegio de Abogados de Lomas de Zamora, Provincia de Buenos Aires, cinco encuentros, realizados en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Octubre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2019.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ESTUDIOS EN CURSO: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Magister en Medios Alternativos de Resolución de Conflictos, UNLZ, Derecho, inicio de cursada </w:t>
            </w:r>
            <w:proofErr w:type="gramStart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Marzo</w:t>
            </w:r>
            <w:proofErr w:type="gramEnd"/>
            <w:r w:rsidRPr="00AB2FAD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2019 – Trabajo de Tesis final en elaboración.</w:t>
            </w:r>
          </w:p>
          <w:p w:rsidR="001446E3" w:rsidRPr="00AB2FAD" w:rsidRDefault="001446E3" w:rsidP="00C0353C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40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pacing w:val="20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center"/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noProof/>
          <w:color w:val="000000" w:themeColor="text1"/>
          <w:spacing w:val="20"/>
          <w:sz w:val="18"/>
          <w:szCs w:val="18"/>
          <w:u w:val="single"/>
          <w:lang w:eastAsia="es-AR"/>
        </w:rPr>
        <w:lastRenderedPageBreak/>
        <w:drawing>
          <wp:anchor distT="0" distB="0" distL="114300" distR="114300" simplePos="0" relativeHeight="251659264" behindDoc="0" locked="0" layoutInCell="1" allowOverlap="1" wp14:anchorId="08843E08" wp14:editId="544C66E9">
            <wp:simplePos x="0" y="0"/>
            <wp:positionH relativeFrom="column">
              <wp:posOffset>4234815</wp:posOffset>
            </wp:positionH>
            <wp:positionV relativeFrom="paragraph">
              <wp:posOffset>0</wp:posOffset>
            </wp:positionV>
            <wp:extent cx="1530985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233" y="21205"/>
                <wp:lineTo x="21233" y="0"/>
                <wp:lineTo x="0" y="0"/>
              </wp:wrapPolygon>
            </wp:wrapThrough>
            <wp:docPr id="6" name="Imagen 6" descr="C:\Users\user\Downloads\Foto mauric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oto maurici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b/>
          <w:color w:val="000000" w:themeColor="text1"/>
          <w:spacing w:val="20"/>
          <w:sz w:val="18"/>
          <w:szCs w:val="18"/>
          <w:u w:val="single"/>
          <w:lang w:val="es-ES" w:eastAsia="es-ES"/>
        </w:rPr>
        <w:t>CURRICULUM VITAE</w:t>
      </w: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>Datos Personales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Nombre y Apellido: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Mauricio Esteban Naranjo Sosa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Profesión: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Abogado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Fecha de nacimiento: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24 de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Enero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1966. 54 Años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Estado Civil: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Casado</w:t>
      </w:r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Nacionalidad: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Argentino</w:t>
      </w:r>
      <w:proofErr w:type="gramEnd"/>
    </w:p>
    <w:p w:rsidR="001446E3" w:rsidRPr="00AB2FAD" w:rsidRDefault="001446E3" w:rsidP="001446E3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D.N.I.:        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17.695.696</w:t>
      </w: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</w:pPr>
      <w:r w:rsidRPr="00AB2FAD">
        <w:rPr>
          <w:rFonts w:ascii="Arial" w:eastAsia="Times New Roman" w:hAnsi="Arial" w:cs="Arial"/>
          <w:b/>
          <w:sz w:val="18"/>
          <w:szCs w:val="18"/>
          <w:u w:val="single"/>
          <w:lang w:val="es-ES" w:eastAsia="es-ES"/>
        </w:rPr>
        <w:t xml:space="preserve">Antecedentes y Formación Académica </w:t>
      </w:r>
    </w:p>
    <w:p w:rsidR="001446E3" w:rsidRPr="00AB2FAD" w:rsidRDefault="001446E3" w:rsidP="001446E3">
      <w:pPr>
        <w:spacing w:after="0" w:line="288" w:lineRule="auto"/>
        <w:ind w:left="2835" w:hanging="2835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 w:line="288" w:lineRule="auto"/>
        <w:ind w:left="2835" w:hanging="2835"/>
        <w:jc w:val="both"/>
        <w:rPr>
          <w:rFonts w:ascii="Arial" w:eastAsia="Times New Roman" w:hAnsi="Arial" w:cs="Arial"/>
          <w:color w:val="1F497D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Concurso: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Arbitro Titular del Tribunal de Arbitraje Institucional del Colegio de Abogados de Lomas de Zamora. Sala Civil y Comercial</w:t>
      </w:r>
    </w:p>
    <w:p w:rsidR="001446E3" w:rsidRPr="00AB2FAD" w:rsidRDefault="001446E3" w:rsidP="001446E3">
      <w:pPr>
        <w:spacing w:after="0"/>
        <w:ind w:left="2832" w:hanging="2832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ind w:left="2832" w:hanging="2832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Posgrado: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Master en Derecho Empresario. Universidad de San Andrés (2005) 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Especialización en Negocios Societarios. Universidad Notarial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Argentina (2007).</w:t>
      </w:r>
    </w:p>
    <w:p w:rsidR="001446E3" w:rsidRPr="00AB2FAD" w:rsidRDefault="001446E3" w:rsidP="001446E3">
      <w:pPr>
        <w:spacing w:after="0"/>
        <w:ind w:left="2836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Diplomatura en Derecho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Registral  Automotor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– UCES (2015)                                              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Universitarios: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Abogacía y Procuración. Universidad de Buenos Aires (UBA)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Título:        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Abogado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Graduación: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>1989</w:t>
      </w:r>
    </w:p>
    <w:p w:rsidR="001446E3" w:rsidRPr="00AB2FAD" w:rsidRDefault="001446E3" w:rsidP="001446E3">
      <w:pPr>
        <w:spacing w:after="0"/>
        <w:ind w:left="2832" w:hanging="2832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ind w:left="2832" w:hanging="2832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Matricula profesional: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Tomo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42  Folio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917 del Colegio Público de Abogados de la Capital Federal</w:t>
      </w:r>
    </w:p>
    <w:p w:rsidR="001446E3" w:rsidRPr="00AB2FAD" w:rsidRDefault="001446E3" w:rsidP="001446E3">
      <w:pPr>
        <w:spacing w:after="0"/>
        <w:ind w:left="2832" w:firstLine="3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Tomo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VIII  Folio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391 del Colegio de Abogados de Lomas de Zamora</w:t>
      </w:r>
    </w:p>
    <w:p w:rsidR="001446E3" w:rsidRPr="00AB2FAD" w:rsidRDefault="001446E3" w:rsidP="001446E3">
      <w:pPr>
        <w:spacing w:after="0"/>
        <w:ind w:left="2832" w:firstLine="3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Tomo 71 Folio 735 de la Cámara Federal de Apelaciones de La Plata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Estudios en el Exterior: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Group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Study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Exchange (I.G.E.)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   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India (1994)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                                                </w:t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Programa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de The Rotary Foundation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Primarios y Secundarios: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St.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Mark's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College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>, Monte Grande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        </w:t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s-ES" w:eastAsia="es-ES"/>
        </w:rPr>
        <w:tab/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Egresado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colación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1983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proofErr w:type="spell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Idioma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:        </w:t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  <w:t>Ingles</w:t>
      </w:r>
    </w:p>
    <w:p w:rsidR="001446E3" w:rsidRPr="00AB2FAD" w:rsidRDefault="001446E3" w:rsidP="001446E3">
      <w:pPr>
        <w:spacing w:after="0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               </w:t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</w: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ab/>
        <w:t xml:space="preserve">First Certificate of English. University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Of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Cambridge.</w:t>
      </w:r>
    </w:p>
    <w:p w:rsidR="001446E3" w:rsidRPr="00AB2FAD" w:rsidRDefault="001446E3" w:rsidP="001446E3">
      <w:pPr>
        <w:spacing w:after="0"/>
        <w:ind w:left="2832"/>
        <w:jc w:val="both"/>
        <w:rPr>
          <w:rFonts w:ascii="Arial" w:eastAsia="Times New Roman" w:hAnsi="Arial" w:cs="Arial"/>
          <w:sz w:val="18"/>
          <w:szCs w:val="18"/>
          <w:lang w:val="en-US" w:eastAsia="es-ES"/>
        </w:rPr>
      </w:pPr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Local Examinations Syndicate (1983), place of entry </w:t>
      </w:r>
      <w:proofErr w:type="spell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Bs</w:t>
      </w:r>
      <w:proofErr w:type="spell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 xml:space="preserve"> </w:t>
      </w:r>
      <w:proofErr w:type="gramStart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As.N</w:t>
      </w:r>
      <w:proofErr w:type="gramEnd"/>
      <w:r w:rsidRPr="00AB2FAD">
        <w:rPr>
          <w:rFonts w:ascii="Arial" w:eastAsia="Times New Roman" w:hAnsi="Arial" w:cs="Arial"/>
          <w:sz w:val="18"/>
          <w:szCs w:val="18"/>
          <w:lang w:val="en-US" w:eastAsia="es-ES"/>
        </w:rPr>
        <w:t>¼ 24002580</w:t>
      </w:r>
    </w:p>
    <w:p w:rsidR="001446E3" w:rsidRPr="00AB2FAD" w:rsidRDefault="001446E3" w:rsidP="001446E3">
      <w:pPr>
        <w:spacing w:after="0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AB2FAD">
        <w:rPr>
          <w:rFonts w:ascii="Times New Roman" w:eastAsia="Times New Roman" w:hAnsi="Times New Roman" w:cs="Times New Roman"/>
          <w:lang w:val="en-US" w:eastAsia="es-ES"/>
        </w:rPr>
        <w:t xml:space="preserve">                </w:t>
      </w:r>
    </w:p>
    <w:p w:rsidR="00911347" w:rsidRDefault="001446E3"/>
    <w:sectPr w:rsidR="009113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3"/>
    <w:rsid w:val="001446E3"/>
    <w:rsid w:val="00221DF0"/>
    <w:rsid w:val="00B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0AB7"/>
  <w15:chartTrackingRefBased/>
  <w15:docId w15:val="{D9854C17-8AB4-448A-AF13-8BB3C8D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6E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ciones-ba.org.ar/documentos/ponencias2017/Comision_1_Fabiana_MIGUEZ_-_GESTIONAR_EL_CONFLICTO.docx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2777</Words>
  <Characters>15277</Characters>
  <Application>Microsoft Office Word</Application>
  <DocSecurity>0</DocSecurity>
  <Lines>127</Lines>
  <Paragraphs>36</Paragraphs>
  <ScaleCrop>false</ScaleCrop>
  <Company/>
  <LinksUpToDate>false</LinksUpToDate>
  <CharactersWithSpaces>18018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Joaco</dc:creator>
  <cp:keywords/>
  <dc:description/>
  <cp:lastModifiedBy>Joaco</cp:lastModifiedBy>
  <cp:revision>1</cp:revision>
  <dcterms:created xsi:type="dcterms:W3CDTF">2022-10-17T21:51:00Z</dcterms:created>
  <dcterms:modified xsi:type="dcterms:W3CDTF">2022-10-17T21:52:00Z</dcterms:modified>
</cp:coreProperties>
</file>