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94A" w:rsidRDefault="0012796A" w:rsidP="0029194A">
      <w:r>
        <w:t>LEY 15.513 DE REFORMA DEL CÓDIGO CE PRCEDIMIENTOS CIVIL Y</w:t>
      </w:r>
      <w:r w:rsidR="0029194A">
        <w:t xml:space="preserve"> COMERCIAL DE LA PROVINCIA DE BUENOS AIRES.-</w:t>
      </w:r>
    </w:p>
    <w:p w:rsidR="0029194A" w:rsidRDefault="0029194A" w:rsidP="0029194A"/>
    <w:p w:rsidR="0029194A" w:rsidRDefault="0029194A" w:rsidP="0029194A">
      <w:r>
        <w:t xml:space="preserve">La ley 15.513 fue promulgada el 31 de diciembre del año 2024, siendo publicada el 3 de enero de 2025 en el Boletín Oficial número 29.909.- </w:t>
      </w:r>
    </w:p>
    <w:p w:rsidR="0029194A" w:rsidRDefault="0029194A" w:rsidP="0029194A">
      <w:r>
        <w:t xml:space="preserve">Modifica el Código de Procedimientos Civil y Comercial de la Provincia de Buenos Aires, regulando el proceso para reclamar la cuota alimentaria.- </w:t>
      </w:r>
    </w:p>
    <w:p w:rsidR="0029194A" w:rsidRDefault="0012796A" w:rsidP="0029194A">
      <w:r>
        <w:t xml:space="preserve"> </w:t>
      </w:r>
      <w:r w:rsidR="0029194A">
        <w:t>Veamos los puntos sobresalientes.-</w:t>
      </w:r>
    </w:p>
    <w:p w:rsidR="0029194A" w:rsidRDefault="0029194A" w:rsidP="0029194A">
      <w:r>
        <w:t xml:space="preserve">En este primer punto que destacamos, </w:t>
      </w:r>
      <w:r w:rsidR="00FD37EC">
        <w:t xml:space="preserve">no siguiendo en forma correlativa los artículos de la reforma, </w:t>
      </w:r>
      <w:r>
        <w:t xml:space="preserve">comienza por aclararse que si ambas partes de un juicio alimentario firmaron un acuerdo  ante el juez o consejero de familia, libremente y debidamente asesorados, </w:t>
      </w:r>
      <w:r w:rsidR="000474C2">
        <w:t xml:space="preserve">aunque después dejen de mover el expediente,  si la parte que debe percibir el alimento debe </w:t>
      </w:r>
      <w:r w:rsidR="00E17064">
        <w:t>actuar</w:t>
      </w:r>
      <w:r w:rsidR="000474C2">
        <w:t xml:space="preserve"> por incumplimiento del obligado, sean alimentos provisorios o definitivos, pueden ejecutar el mismo.- </w:t>
      </w:r>
      <w:r>
        <w:t xml:space="preserve"> </w:t>
      </w:r>
    </w:p>
    <w:p w:rsidR="0029194A" w:rsidRDefault="000474C2" w:rsidP="0029194A">
      <w:r>
        <w:t>En efecto, s</w:t>
      </w:r>
      <w:r w:rsidR="0029194A">
        <w:t>e modifica el artículo 521 del C.P.C.C. al otorgarse, como algo novedoso, fuerza ejecutiva a los convenios de alimentos no homologados judicialmente, lo que siempre había sido negado judicialmente a pesar de las injusticias y transcurso de tiempo que ello traía aparejado.-</w:t>
      </w:r>
    </w:p>
    <w:p w:rsidR="0029194A" w:rsidRDefault="0029194A" w:rsidP="0029194A">
      <w:r>
        <w:t>Estos convenios deben tener firma certificada o principio de ejecución acreditado.-</w:t>
      </w:r>
    </w:p>
    <w:p w:rsidR="00FD37EC" w:rsidRDefault="00FD37EC" w:rsidP="0029194A">
      <w:r>
        <w:t xml:space="preserve">Recordemos que en muchos juzgados, en el que me incluía, para evitar este tipo de inconvenientes, una vez firmado el acuerdo de oficio pasaba a su pertinente homologación.- </w:t>
      </w:r>
    </w:p>
    <w:p w:rsidR="0029194A" w:rsidRDefault="0029194A" w:rsidP="0029194A">
      <w:r>
        <w:t xml:space="preserve">Aquí se desarrolla otro punto importante íntimamente relacionado y es la reforma al artículo 637 del citado código, en el sentido de que notificado el obligado alimentante, por los nuevos medios que vamos a analizar, se le aplicará una multa por incomparecencia injustificada, que va desde 10 hasta 200 </w:t>
      </w:r>
      <w:proofErr w:type="spellStart"/>
      <w:r>
        <w:t>Jus</w:t>
      </w:r>
      <w:proofErr w:type="spellEnd"/>
      <w:r>
        <w:t xml:space="preserve">, con un plazo de 3 días para su depósito.- </w:t>
      </w:r>
    </w:p>
    <w:p w:rsidR="0029194A" w:rsidRDefault="0029194A" w:rsidP="0029194A">
      <w:r>
        <w:lastRenderedPageBreak/>
        <w:t xml:space="preserve">Recordemos que el </w:t>
      </w:r>
      <w:proofErr w:type="spellStart"/>
      <w:r>
        <w:t>Jus</w:t>
      </w:r>
      <w:proofErr w:type="spellEnd"/>
      <w:r>
        <w:t xml:space="preserve"> es la unidad de honorario profesional que representa el 1% de la remuneración total asignada por todo concepto al cargo de Juez de Primera Instancia de la Provincia de Buenos  Aires , con 15 años de antigüedad, incluido el básico, bloqueo de título, permanencia y todo otro tipo de bonificaciones, compensaciones o adicionales.-</w:t>
      </w:r>
    </w:p>
    <w:p w:rsidR="00FD37EC" w:rsidRDefault="0029194A" w:rsidP="0029194A">
      <w:r>
        <w:t>Asimismo, se fija una nueva fecha de audiencia  en 5 días</w:t>
      </w:r>
      <w:r w:rsidR="00FD37EC">
        <w:t>,</w:t>
      </w:r>
      <w:r>
        <w:t xml:space="preserve"> con el apercibimiento de establecer la cuota alimentaria de acuerdo a las constancias del expediente.-</w:t>
      </w:r>
    </w:p>
    <w:p w:rsidR="0029194A" w:rsidRDefault="0029194A" w:rsidP="0029194A">
      <w:r>
        <w:t xml:space="preserve"> </w:t>
      </w:r>
    </w:p>
    <w:p w:rsidR="0029194A" w:rsidRDefault="00FD37EC" w:rsidP="0029194A">
      <w:r>
        <w:t>Otro punto rescatable es r</w:t>
      </w:r>
      <w:r w:rsidR="0029194A">
        <w:t>especto de las notificaciones, las que siempre han sido un verdadero bloqueo para que prosperen estas acciones tan trascedentes, se establecen medios alternativos, que desde la magistratura habíamos aplicado con éxito durante la pandemia y que muchas veces hicimos extensivas a posteriori</w:t>
      </w:r>
      <w:r>
        <w:t>,</w:t>
      </w:r>
      <w:r w:rsidR="0029194A">
        <w:t xml:space="preserve"> cuando el caso lo ameritaba.-</w:t>
      </w:r>
    </w:p>
    <w:p w:rsidR="0029194A" w:rsidRDefault="0029194A" w:rsidP="0029194A">
      <w:r>
        <w:t xml:space="preserve">Se reforma el artículo 635 bis permitiéndose las notificaciones por mensajería instantánea, como el </w:t>
      </w:r>
      <w:proofErr w:type="spellStart"/>
      <w:r>
        <w:t>whastApp</w:t>
      </w:r>
      <w:proofErr w:type="spellEnd"/>
      <w:r>
        <w:t>, siempre teniendo ciertos resguardos de seguridad.-</w:t>
      </w:r>
      <w:r w:rsidR="00FD37EC">
        <w:t xml:space="preserve"> Si se tienen otros medios clásicos y estos dan resultado, nos atenemos a los mismos.-</w:t>
      </w:r>
      <w:r w:rsidR="00314D41">
        <w:t xml:space="preserve"> Lo importante es que por distintas formas o alternativas no legales, el obligado alimentario evite ser anoticiado y con ello esquivar  su genuina responsabilidad.-</w:t>
      </w:r>
    </w:p>
    <w:p w:rsidR="0029194A" w:rsidRDefault="006A1A74" w:rsidP="0029194A">
      <w:r>
        <w:t>No hay límites ni en el tiempo ni en el estado procesal.- En efecto, e</w:t>
      </w:r>
      <w:r w:rsidR="00FD37EC">
        <w:t>sta nueva posibilidad s</w:t>
      </w:r>
      <w:r w:rsidR="0029194A">
        <w:t>e puede utilizar</w:t>
      </w:r>
      <w:r w:rsidR="00FD37EC">
        <w:t xml:space="preserve"> en distintos momentos de la acción judicial.- Así </w:t>
      </w:r>
      <w:r w:rsidR="0029194A">
        <w:t xml:space="preserve"> para el traslado del inicio en etapa previa, </w:t>
      </w:r>
      <w:r>
        <w:t xml:space="preserve">audiencia/s frente a consejero, </w:t>
      </w:r>
      <w:r w:rsidR="0029194A">
        <w:t xml:space="preserve"> </w:t>
      </w:r>
      <w:r>
        <w:t>en la etapa d</w:t>
      </w:r>
      <w:r w:rsidR="00E17064">
        <w:t>e</w:t>
      </w:r>
      <w:r>
        <w:t xml:space="preserve"> conocimiento al traslado </w:t>
      </w:r>
      <w:r w:rsidR="0029194A">
        <w:t xml:space="preserve">de demanda </w:t>
      </w:r>
      <w:r>
        <w:t>, conjuntamente con</w:t>
      </w:r>
      <w:r w:rsidR="0029194A">
        <w:t xml:space="preserve"> los documentos que se acompañen, la audiencia preliminar,</w:t>
      </w:r>
      <w:r>
        <w:t xml:space="preserve"> la audiencia de vista de causa.- Es trascendente </w:t>
      </w:r>
      <w:r w:rsidR="0029194A">
        <w:t xml:space="preserve"> la disposición que disponga la fijación de alimentos provisorios, </w:t>
      </w:r>
      <w:r>
        <w:t>así como la de alimentos definitiv</w:t>
      </w:r>
      <w:r w:rsidR="00DD1052">
        <w:t>o</w:t>
      </w:r>
      <w:r>
        <w:t>s, llegada a esa etapa p</w:t>
      </w:r>
      <w:r w:rsidR="00DD1052">
        <w:t>r</w:t>
      </w:r>
      <w:r>
        <w:t>o</w:t>
      </w:r>
      <w:r w:rsidR="00DD1052">
        <w:t>c</w:t>
      </w:r>
      <w:r>
        <w:t xml:space="preserve">esal.- </w:t>
      </w:r>
      <w:r w:rsidR="00DD1052">
        <w:t xml:space="preserve">Toda </w:t>
      </w:r>
      <w:r w:rsidR="0029194A">
        <w:t xml:space="preserve"> otra citación o notificación que se disponga en el pertinente juzgado.-</w:t>
      </w:r>
    </w:p>
    <w:p w:rsidR="00DD1052" w:rsidRDefault="00DD1052" w:rsidP="0029194A">
      <w:r>
        <w:t xml:space="preserve">Si bien esto es un adelanto en lo que hace a la agilidad procesal, evidentemente </w:t>
      </w:r>
      <w:r w:rsidR="0029194A">
        <w:t xml:space="preserve"> debe ir acompañado con ciertas garantías en la seguridad de la notificación</w:t>
      </w:r>
      <w:r>
        <w:t xml:space="preserve">  para un equilibrio de justicia</w:t>
      </w:r>
      <w:r w:rsidR="0029194A">
        <w:t xml:space="preserve">.- </w:t>
      </w:r>
      <w:r>
        <w:t xml:space="preserve">Deberá existir un adecuado control por parte del juez y/o actuario de que el acto de </w:t>
      </w:r>
      <w:proofErr w:type="spellStart"/>
      <w:r>
        <w:t>anoticiamiento</w:t>
      </w:r>
      <w:proofErr w:type="spellEnd"/>
      <w:r>
        <w:t xml:space="preserve"> sea inalterable, la petición o demanda en su integridad, fechas de audiencia adecuadas.-</w:t>
      </w:r>
    </w:p>
    <w:p w:rsidR="0029194A" w:rsidRDefault="0029194A" w:rsidP="0029194A">
      <w:r>
        <w:lastRenderedPageBreak/>
        <w:t xml:space="preserve"> Cuando se trate de documentación  esta debe incluir una explicación  en términos claros y comprensibles</w:t>
      </w:r>
      <w:r w:rsidR="00243C9A">
        <w:t>, con lenguaje sencillo</w:t>
      </w:r>
      <w:r>
        <w:t>.- Se debe tener siempre presente las particularidades y condiciones del destinatario</w:t>
      </w:r>
      <w:r w:rsidR="00243C9A">
        <w:t>, a los fines de que el mismo pueda tener los elementos suficientes para su defensa</w:t>
      </w:r>
      <w:r>
        <w:t>.-</w:t>
      </w:r>
    </w:p>
    <w:p w:rsidR="0029194A" w:rsidRDefault="0029194A" w:rsidP="0029194A">
      <w:r>
        <w:t xml:space="preserve"> </w:t>
      </w:r>
      <w:r w:rsidR="00243C9A">
        <w:t>Otro tema novedoso es que el a</w:t>
      </w:r>
      <w:r>
        <w:t>ctuario,  deberá establecer una comunicación telefónica con el receptor  para constatar la eficacia de la notificación y la identidad del obligado.-</w:t>
      </w:r>
      <w:r w:rsidR="00243C9A">
        <w:t xml:space="preserve"> También hemos validado las capturas de pantalla.-</w:t>
      </w:r>
    </w:p>
    <w:p w:rsidR="0029194A" w:rsidRDefault="0029194A" w:rsidP="0029194A">
      <w:r>
        <w:t>Por último</w:t>
      </w:r>
      <w:r w:rsidR="00243C9A">
        <w:t xml:space="preserve">, a los fines de la debida constatación, </w:t>
      </w:r>
      <w:r>
        <w:t xml:space="preserve"> se redactará un acta detallando lo sucedido durante la notificación u su resultado, incorporando la misma al expediente pertinente.-</w:t>
      </w:r>
    </w:p>
    <w:p w:rsidR="00243C9A" w:rsidRDefault="00243C9A" w:rsidP="0029194A">
      <w:r>
        <w:t xml:space="preserve">Recordemos que para </w:t>
      </w:r>
      <w:r w:rsidR="0029194A">
        <w:t xml:space="preserve"> la utilización de  la telefonía celular la  parte actora interesada debe proporcionar el número del teléfono móvil del obligado a pasar alimentos</w:t>
      </w:r>
      <w:r>
        <w:t xml:space="preserve"> en la presentación de su pretensión</w:t>
      </w:r>
      <w:r w:rsidR="0029194A">
        <w:t xml:space="preserve">.- </w:t>
      </w:r>
    </w:p>
    <w:p w:rsidR="0029194A" w:rsidRDefault="00243C9A" w:rsidP="0029194A">
      <w:r>
        <w:t>Si bien con el simple número telefónico, si da los resultados esperados, es suficiente, para ciertas circunstancias e</w:t>
      </w:r>
      <w:r w:rsidR="0029194A">
        <w:t>s importante acreditar la titularidad de la línea  mediante informes a las entidades tanto públicas como privadas</w:t>
      </w:r>
      <w:r w:rsidR="004877C7">
        <w:t>, lo que se puede presentar al comienzo de la acción para evitar futuras dilaciones</w:t>
      </w:r>
      <w:r w:rsidR="0029194A">
        <w:t>.-</w:t>
      </w:r>
    </w:p>
    <w:p w:rsidR="0029194A" w:rsidRDefault="0029194A" w:rsidP="0029194A">
      <w:r>
        <w:t>Aquí es bueno resaltar la modificación al art. 396 al darse los recaudos y plazos para contestación de oficios.- Se establece expresamente que en los procesos de alimentos los plazos de contestación de las oficinas públicas será de siete días hábiles y para las entidades privadas de cinco días hábiles, acortándose decididamente los plazos generales.-</w:t>
      </w:r>
    </w:p>
    <w:p w:rsidR="0029194A" w:rsidRDefault="004877C7" w:rsidP="0029194A">
      <w:r>
        <w:t xml:space="preserve">Reiteramos </w:t>
      </w:r>
      <w:r w:rsidR="0029194A">
        <w:t xml:space="preserve"> que la falta de acreditación no impedirá el uso de este medio de comunicación.-</w:t>
      </w:r>
      <w:r>
        <w:t xml:space="preserve"> El objetivo principal es la necesidad alimentaria de niños, niñas y adolescentes.-</w:t>
      </w:r>
    </w:p>
    <w:p w:rsidR="0029194A" w:rsidRDefault="0029194A" w:rsidP="0029194A">
      <w:r>
        <w:t xml:space="preserve">Como existen plazos, se toma como fecha de notificación la correspondiente acta labrada </w:t>
      </w:r>
      <w:proofErr w:type="gramStart"/>
      <w:r>
        <w:t>por</w:t>
      </w:r>
      <w:proofErr w:type="gramEnd"/>
      <w:r>
        <w:t xml:space="preserve"> el actuario en el acto del diligenciamiento.-</w:t>
      </w:r>
    </w:p>
    <w:p w:rsidR="0029194A" w:rsidRDefault="0029194A" w:rsidP="0029194A">
      <w:r>
        <w:lastRenderedPageBreak/>
        <w:t xml:space="preserve">Recordemos que los mensajes de </w:t>
      </w:r>
      <w:proofErr w:type="spellStart"/>
      <w:r>
        <w:t>WhatsApp</w:t>
      </w:r>
      <w:proofErr w:type="spellEnd"/>
      <w:r>
        <w:t xml:space="preserve"> se encuentran suscriptos mediante tecnología  de firma electrónica y deben ser considerados como documentos electrónicos.-</w:t>
      </w:r>
    </w:p>
    <w:p w:rsidR="0029194A" w:rsidRDefault="0029194A" w:rsidP="0029194A">
      <w:r>
        <w:t xml:space="preserve">Atento a ello se puede determinar  que un mensaje de </w:t>
      </w:r>
      <w:proofErr w:type="spellStart"/>
      <w:r>
        <w:t>WhatsApp</w:t>
      </w:r>
      <w:proofErr w:type="spellEnd"/>
      <w:r>
        <w:t xml:space="preserve"> que contenga una determinada comunicación, enviado desde un dispositivo de la persona remitente y recibido por la persona destinataria, tiene los requisitos de validez exigidos para que una notificación sea fehaciente y produce los mismos efectos jurídicos que aquel remitido por correo postal.- (Doctrina: </w:t>
      </w:r>
      <w:proofErr w:type="spellStart"/>
      <w:r>
        <w:t>Dras</w:t>
      </w:r>
      <w:proofErr w:type="spellEnd"/>
      <w:r>
        <w:t xml:space="preserve">. Sabrina </w:t>
      </w:r>
      <w:proofErr w:type="spellStart"/>
      <w:r>
        <w:t>Cartabia</w:t>
      </w:r>
      <w:proofErr w:type="spellEnd"/>
      <w:r>
        <w:t xml:space="preserve"> </w:t>
      </w:r>
      <w:proofErr w:type="spellStart"/>
      <w:r>
        <w:t>Groba</w:t>
      </w:r>
      <w:proofErr w:type="spellEnd"/>
      <w:r>
        <w:t>-Marisa Herrera).-</w:t>
      </w:r>
    </w:p>
    <w:p w:rsidR="00E55B5A" w:rsidRDefault="00E55B5A" w:rsidP="0029194A"/>
    <w:p w:rsidR="0029194A" w:rsidRDefault="00E55B5A" w:rsidP="0029194A">
      <w:r>
        <w:t>Otro de  los tópicos a tener en cuenta es la actividad del profesional, p</w:t>
      </w:r>
      <w:r w:rsidR="0029194A">
        <w:t xml:space="preserve">ara que este nuevo procedimiento sea realmente efectivo, </w:t>
      </w:r>
      <w:r>
        <w:t>tomando los recaudos pertinentes</w:t>
      </w:r>
      <w:r w:rsidR="0029194A">
        <w:t xml:space="preserve"> para realizar la demanda.- En ese sentido se modifica el art. 635 del código de procedimientos, estableciéndose que se deberá denunciar aproximadamente el caudal económico del alimentante, lo que siempre fue </w:t>
      </w:r>
      <w:r>
        <w:t>solicitado</w:t>
      </w:r>
      <w:r w:rsidR="0029194A">
        <w:t>, siendo la novedad que se admite la prueba indiciaria.-</w:t>
      </w:r>
    </w:p>
    <w:p w:rsidR="0029194A" w:rsidRDefault="0029194A" w:rsidP="0029194A">
      <w:r>
        <w:t xml:space="preserve">Por tal se entiende una prueba no </w:t>
      </w:r>
      <w:r w:rsidR="00E55B5A">
        <w:t xml:space="preserve">directa ni </w:t>
      </w:r>
      <w:r>
        <w:t xml:space="preserve">exacta, considerándose indicios aceptables pruebas indirectas que permitan </w:t>
      </w:r>
      <w:r w:rsidR="00E55B5A">
        <w:t xml:space="preserve">tener una idea cierta o aún aproximada de </w:t>
      </w:r>
      <w:r>
        <w:t xml:space="preserve"> la capacidad económica del o los obligados.-</w:t>
      </w:r>
    </w:p>
    <w:p w:rsidR="00E55B5A" w:rsidRDefault="00E55B5A" w:rsidP="0029194A">
      <w:r>
        <w:t>Muchas veces estos se valen de distintas argucias para disimular o negar sus posibilidades, como ningún bien  a su nombre, sea registrable o no,  trabajo “en negro”, viajes abonados “por terceros”, entre muchos otros.-</w:t>
      </w:r>
    </w:p>
    <w:p w:rsidR="0029194A" w:rsidRDefault="0029194A" w:rsidP="0029194A">
      <w:r>
        <w:t xml:space="preserve">Jurisprudencialmente ya se venían aceptando </w:t>
      </w:r>
      <w:r w:rsidR="00E55B5A">
        <w:t xml:space="preserve">como </w:t>
      </w:r>
      <w:r>
        <w:t xml:space="preserve">elementos </w:t>
      </w:r>
      <w:r w:rsidR="00E55B5A">
        <w:t>probatorios</w:t>
      </w:r>
      <w:r w:rsidR="00A45DCD">
        <w:t>,</w:t>
      </w:r>
      <w:r w:rsidR="00E55B5A">
        <w:t xml:space="preserve">  e</w:t>
      </w:r>
      <w:r w:rsidR="00A45DCD">
        <w:t>l</w:t>
      </w:r>
      <w:r w:rsidR="00E55B5A">
        <w:t xml:space="preserve"> análisis, muchas veces por medio de informes de las trabajadoras sociales</w:t>
      </w:r>
      <w:r w:rsidR="00A45DCD">
        <w:t xml:space="preserve"> o los oficios pertinentes</w:t>
      </w:r>
      <w:r w:rsidR="00E55B5A">
        <w:t xml:space="preserve">,  </w:t>
      </w:r>
      <w:r w:rsidR="00051A38">
        <w:t xml:space="preserve"> </w:t>
      </w:r>
      <w:r w:rsidR="00A45DCD">
        <w:t>de cómo es</w:t>
      </w:r>
      <w:r>
        <w:t xml:space="preserve"> el sistema de vida </w:t>
      </w:r>
      <w:r w:rsidR="00A45DCD">
        <w:t xml:space="preserve">real </w:t>
      </w:r>
      <w:r>
        <w:t>del alimentante, sus posibles ingresos y gastos, cuentas bancarias, movimiento de tarjetas , captura de pantalla, imágenes digitales, viajes, deportes, recreación en general.-</w:t>
      </w:r>
      <w:r w:rsidR="00A45DCD">
        <w:t xml:space="preserve"> El vivir en casa a nombre de terceros, manejar autos que descansan en el propio garaje también a nombre de otros</w:t>
      </w:r>
      <w:r w:rsidR="00051A38">
        <w:t>, estar en empresas</w:t>
      </w:r>
      <w:r w:rsidR="00A45DCD">
        <w:t xml:space="preserve"> </w:t>
      </w:r>
      <w:r w:rsidR="00051A38">
        <w:t>que no facturan el total de lo percibido mensualmente</w:t>
      </w:r>
      <w:r w:rsidR="00E17064">
        <w:t>, son elementos a tener especialmente en cuenta</w:t>
      </w:r>
      <w:r w:rsidR="00051A38">
        <w:t>.-</w:t>
      </w:r>
    </w:p>
    <w:p w:rsidR="00051A38" w:rsidRDefault="00051A38" w:rsidP="0029194A">
      <w:r>
        <w:t>Un</w:t>
      </w:r>
      <w:r w:rsidR="00E17064">
        <w:t>a</w:t>
      </w:r>
      <w:r>
        <w:t xml:space="preserve"> mirada ágil permite encontrar las verdades que se pretenden ocultar.-</w:t>
      </w:r>
    </w:p>
    <w:p w:rsidR="0029194A" w:rsidRDefault="0029194A" w:rsidP="0029194A">
      <w:r>
        <w:lastRenderedPageBreak/>
        <w:t xml:space="preserve">Junto a estos relevantes principios encontramos otro que trajo anteriormente a la reforma, resoluciones contradictorias.- Me refiero a los alimentos provisorios, que algunos juzgados solo lo daban si eran expresamente solicitados por la parte, mientras que otros, en los que me incluía, de oficio lo </w:t>
      </w:r>
      <w:r w:rsidR="00BB7955">
        <w:t>dictaminábamos</w:t>
      </w:r>
      <w:r>
        <w:t xml:space="preserve"> como primera resolución, atento a las inmediatas necesidades de este grupo vulnerable como son los niños.-        </w:t>
      </w:r>
    </w:p>
    <w:p w:rsidR="0029194A" w:rsidRDefault="0029194A" w:rsidP="0029194A">
      <w:r>
        <w:t xml:space="preserve">Actualmente se modifica el art. 636 bis al decir que los alimentos provisorios deben fijarse  en el primer auto del proceso  agregándose que en un plazo no mayor a cinco días si se solicitan después.- </w:t>
      </w:r>
    </w:p>
    <w:p w:rsidR="0029194A" w:rsidRDefault="0029194A" w:rsidP="0029194A">
      <w:r>
        <w:t>No hay dudas que es una obligación del juez interviniente hacerlo de oficio y no una facultad</w:t>
      </w:r>
      <w:r w:rsidR="00BB7955">
        <w:t>,</w:t>
      </w:r>
      <w:r>
        <w:t xml:space="preserve"> como era considerada hasta el presente y para ello debe valerse de las pruebas directas y las indiciarias agregadas al expediente por quien peticiona.-</w:t>
      </w:r>
    </w:p>
    <w:p w:rsidR="0029194A" w:rsidRDefault="0029194A" w:rsidP="0029194A">
      <w:r>
        <w:t>Recordemos que esta medida se aplica tanto al progenitor obligado, como a los abuelos demandados en su caso, bajo los mismos requisitos.-</w:t>
      </w:r>
    </w:p>
    <w:p w:rsidR="0029194A" w:rsidRDefault="0029194A" w:rsidP="0029194A">
      <w:r>
        <w:t xml:space="preserve">Se establece que si existe un incumplimiento de dicha cuota provisoria el juez debe aplicar una multa equivalente entre diez </w:t>
      </w:r>
      <w:proofErr w:type="spellStart"/>
      <w:r>
        <w:t>Jus</w:t>
      </w:r>
      <w:proofErr w:type="spellEnd"/>
      <w:r>
        <w:t xml:space="preserve"> y doscientos </w:t>
      </w:r>
      <w:proofErr w:type="spellStart"/>
      <w:r>
        <w:t>Jus</w:t>
      </w:r>
      <w:proofErr w:type="spellEnd"/>
      <w:r>
        <w:t>, según las particularidades del caso.-</w:t>
      </w:r>
    </w:p>
    <w:p w:rsidR="0029194A" w:rsidRDefault="0029194A" w:rsidP="0029194A">
      <w:r>
        <w:t>Al mismo tiempo informará el incumplimiento al Registro de Deudores Alimentarios  Morosos</w:t>
      </w:r>
      <w:r w:rsidR="00BB7955">
        <w:t>, aplicando asimismo otras medidas razonables que considere oportunas.-</w:t>
      </w:r>
    </w:p>
    <w:p w:rsidR="00BB7955" w:rsidRDefault="00BB7955" w:rsidP="0029194A"/>
    <w:p w:rsidR="0029194A" w:rsidRDefault="00BB7955" w:rsidP="0029194A">
      <w:r>
        <w:t xml:space="preserve">Esto se encuentra relacionado con cuales son los principios para evaluar cuanto establecer como alimentos por parte del juez.- </w:t>
      </w:r>
      <w:r w:rsidR="0029194A">
        <w:t>Como s</w:t>
      </w:r>
      <w:r w:rsidR="00E17064">
        <w:t>e</w:t>
      </w:r>
      <w:r w:rsidR="0029194A">
        <w:t xml:space="preserve"> venía realizando jurisprudencialmente para determinar la cuantía de los alimentos provisorios, lo que es de aplicación a los alimentos definitivos en su caso, se aplicará la Canasta de Crianza de la Primera Infancia y la Adolescencia establecida por el Instituto Nacional de Estadísticas y Censos de la República Argentina (INDEC) u otra medición que adopte la Provincia de Buenos Aires.-</w:t>
      </w:r>
    </w:p>
    <w:p w:rsidR="0029194A" w:rsidRDefault="0029194A" w:rsidP="0029194A">
      <w:r>
        <w:t xml:space="preserve">Es interesante ver que rubros comprende la canasta de crianza: en primer lugar el costo total mensual para el desarrollo de los niños/as y adolescentes, que se toman comúnmente de la canasta básica total agregándose </w:t>
      </w:r>
      <w:r w:rsidR="00BB7955">
        <w:t xml:space="preserve">lo necesario para su </w:t>
      </w:r>
      <w:proofErr w:type="gramStart"/>
      <w:r w:rsidR="00BB7955">
        <w:t>alimentación ,</w:t>
      </w:r>
      <w:proofErr w:type="gramEnd"/>
      <w:r w:rsidR="00BB7955">
        <w:t xml:space="preserve"> vivienda , </w:t>
      </w:r>
      <w:r w:rsidR="00BB7955">
        <w:lastRenderedPageBreak/>
        <w:t xml:space="preserve">vestuario, educación, salud, al que se otorga </w:t>
      </w:r>
      <w:r>
        <w:t>como nuevo parámetro el costo de cuidado, la valoración del tiempo requerido para dicha actividad.-</w:t>
      </w:r>
    </w:p>
    <w:p w:rsidR="0029194A" w:rsidRDefault="0029194A" w:rsidP="0029194A">
      <w:r>
        <w:t>Para el costo de cuidado  se tiene en cuenta el tiempo teórico que insume cada progenitor, en cada etapa de la vida de los niños.-</w:t>
      </w:r>
      <w:r w:rsidR="00BB7955">
        <w:t xml:space="preserve"> Se considera que los costos de cuidado más altos son con los niños más pequeños.-No se suma por cantidad de niños, considerándose que un solo cuidador puede proteger hasta cinco niños.-</w:t>
      </w:r>
    </w:p>
    <w:p w:rsidR="0029194A" w:rsidRDefault="0029194A" w:rsidP="0029194A">
      <w:r>
        <w:t>Se calcula como referencia las remuneraciones del costo en horas previstas para los trabajadores de casas particulares.-</w:t>
      </w:r>
    </w:p>
    <w:p w:rsidR="0029194A" w:rsidRDefault="0029194A" w:rsidP="0029194A">
      <w:r>
        <w:t>En cuanto a las franjas de edades  se dividen en tramos que van de 1 a 3 años, de 4 a 5 años y de 6 a 12 años.-  Deja una franja vacía entre los 13 y 18 años, que en varios fallos jurisprudenciales se solucionó aplicando principios analógicos a más de las pruebas indiciarias.-</w:t>
      </w:r>
    </w:p>
    <w:p w:rsidR="0029194A" w:rsidRDefault="0029194A" w:rsidP="0029194A">
      <w:r>
        <w:t xml:space="preserve">Se ha flexibilizado  el exceso ritual de probar </w:t>
      </w:r>
      <w:proofErr w:type="spellStart"/>
      <w:r>
        <w:t>exahustivamente</w:t>
      </w:r>
      <w:proofErr w:type="spellEnd"/>
      <w:r>
        <w:t xml:space="preserve"> cada gasto, </w:t>
      </w:r>
      <w:r w:rsidR="00BB7955">
        <w:t xml:space="preserve">como se venía practicando con innumerable papeleo, </w:t>
      </w:r>
      <w:r>
        <w:t xml:space="preserve">admitiéndose los principios generales en la temática y que lo </w:t>
      </w:r>
      <w:r w:rsidR="00BB7955">
        <w:t xml:space="preserve">aporta simplemente </w:t>
      </w:r>
      <w:r>
        <w:t xml:space="preserve"> la canasta básica mas la de crianza</w:t>
      </w:r>
      <w:r w:rsidR="00BB7955">
        <w:t xml:space="preserve"> en especial</w:t>
      </w:r>
      <w:r>
        <w:t>.-</w:t>
      </w:r>
    </w:p>
    <w:p w:rsidR="009B58A2" w:rsidRDefault="009B58A2" w:rsidP="0029194A">
      <w:r>
        <w:t>Un juez con estos elementos puede llegar a un monto adecuado para la protección integral de los niños en la problemática familiar.-</w:t>
      </w:r>
    </w:p>
    <w:p w:rsidR="009B58A2" w:rsidRDefault="009B58A2" w:rsidP="0029194A">
      <w:r>
        <w:t>Dependerá del demandado, atento al principio de aplicación d  la prueba activa, es decir que la presente quien está en mejores condiciones de hacerlo, probar que lo establecido no se adecúa a su realidad</w:t>
      </w:r>
      <w:r w:rsidR="00E17064">
        <w:t>,</w:t>
      </w:r>
      <w:r>
        <w:t xml:space="preserve"> dando las pruebas y explicaciones fundadas pertinentes.-</w:t>
      </w:r>
    </w:p>
    <w:p w:rsidR="009B58A2" w:rsidRDefault="009B58A2" w:rsidP="0029194A">
      <w:r>
        <w:t xml:space="preserve"> </w:t>
      </w:r>
    </w:p>
    <w:p w:rsidR="0029194A" w:rsidRDefault="009B58A2" w:rsidP="0029194A">
      <w:r>
        <w:t>Por último recordemos que f</w:t>
      </w:r>
      <w:r w:rsidR="0029194A">
        <w:t xml:space="preserve">rente al incumplimiento tanto de los alimentos provisorios como de la sentencia definitiva, el juez, a más de ordenar la inscripción en deudores morosos, puede tomar cualquier otra medida razonable, en consideración a las expresas disposiciones del art. 553 del C.C y C, dando como pautas básicas cobrar la cuota mediante la factura de luz, mercado pago, cuenta DNI, prohibición de entrar en la cuenta en </w:t>
      </w:r>
      <w:proofErr w:type="spellStart"/>
      <w:r w:rsidR="0029194A">
        <w:t>Tik</w:t>
      </w:r>
      <w:proofErr w:type="spellEnd"/>
      <w:r w:rsidR="0029194A">
        <w:t xml:space="preserve"> </w:t>
      </w:r>
      <w:proofErr w:type="spellStart"/>
      <w:r w:rsidR="0029194A">
        <w:t>Tok</w:t>
      </w:r>
      <w:proofErr w:type="spellEnd"/>
      <w:r w:rsidR="0029194A">
        <w:t xml:space="preserve">, </w:t>
      </w:r>
      <w:r w:rsidR="0029194A">
        <w:lastRenderedPageBreak/>
        <w:t>prohibición de entrar al gimnasio y realizar determinado deporte, de navegar, de cargar combustible, baja de la AFIP entre las más destacables.-</w:t>
      </w:r>
    </w:p>
    <w:p w:rsidR="009B58A2" w:rsidRDefault="009B58A2" w:rsidP="0029194A">
      <w:r>
        <w:t>Todo dependerá de la creatividad de quien lo solicita, lo mismo que de aquel que tiene que juzgar en casos tan delicados.-</w:t>
      </w:r>
    </w:p>
    <w:p w:rsidR="009B58A2" w:rsidRDefault="009B58A2" w:rsidP="0029194A"/>
    <w:p w:rsidR="009B58A2" w:rsidRDefault="009B58A2" w:rsidP="0029194A">
      <w:r>
        <w:t>Todo este beneficioso cambio tiende a agilizar los trámites alimentarios que tantos inconvenientes siempre trajeron aparejados.-</w:t>
      </w:r>
    </w:p>
    <w:p w:rsidR="009B58A2" w:rsidRDefault="009B58A2" w:rsidP="0029194A">
      <w:r>
        <w:t>Es lamentabl</w:t>
      </w:r>
      <w:r w:rsidR="00E17064">
        <w:t>e</w:t>
      </w:r>
      <w:r>
        <w:t xml:space="preserve"> considerar, con una mirada desde la responsabilidad parental, que se deba acudir a situaciones forzosas de situaciones que deberían fluir naturalment</w:t>
      </w:r>
      <w:r w:rsidR="00E17064">
        <w:t>e</w:t>
      </w:r>
      <w:r>
        <w:t>, como la protección y cuidado int</w:t>
      </w:r>
      <w:r w:rsidR="00E17064">
        <w:t>eg</w:t>
      </w:r>
      <w:r>
        <w:t>ral d</w:t>
      </w:r>
      <w:r w:rsidR="00E17064">
        <w:t>e</w:t>
      </w:r>
      <w:r>
        <w:t xml:space="preserve"> los propios hijos.-</w:t>
      </w:r>
    </w:p>
    <w:p w:rsidR="009B58A2" w:rsidRDefault="009B58A2" w:rsidP="0029194A"/>
    <w:p w:rsidR="009B58A2" w:rsidRDefault="009B58A2" w:rsidP="0029194A">
      <w:r>
        <w:t xml:space="preserve">Alicia </w:t>
      </w:r>
      <w:proofErr w:type="spellStart"/>
      <w:r>
        <w:t>Taliercio</w:t>
      </w:r>
      <w:proofErr w:type="spellEnd"/>
      <w:r>
        <w:t>.-</w:t>
      </w:r>
    </w:p>
    <w:p w:rsidR="009B58A2" w:rsidRDefault="009B58A2" w:rsidP="0029194A">
      <w:r>
        <w:t>Directora del Instituto de Familia del CALZ.</w:t>
      </w:r>
    </w:p>
    <w:p w:rsidR="009B58A2" w:rsidRDefault="009B58A2" w:rsidP="0029194A">
      <w:r>
        <w:t xml:space="preserve"> Directora del Instituto de familia de la Facultad de Derecho de Lomas de Zamora.-</w:t>
      </w:r>
    </w:p>
    <w:p w:rsidR="0029194A" w:rsidRDefault="0029194A" w:rsidP="0029194A"/>
    <w:sectPr w:rsidR="0029194A" w:rsidSect="00F458D7">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12796A"/>
    <w:rsid w:val="000474C2"/>
    <w:rsid w:val="00051A38"/>
    <w:rsid w:val="0012796A"/>
    <w:rsid w:val="001767AF"/>
    <w:rsid w:val="002154D1"/>
    <w:rsid w:val="00243C9A"/>
    <w:rsid w:val="0029194A"/>
    <w:rsid w:val="00314D41"/>
    <w:rsid w:val="004877C7"/>
    <w:rsid w:val="005D071F"/>
    <w:rsid w:val="006A1A74"/>
    <w:rsid w:val="006A563A"/>
    <w:rsid w:val="007621F6"/>
    <w:rsid w:val="008062EA"/>
    <w:rsid w:val="00962156"/>
    <w:rsid w:val="009B58A2"/>
    <w:rsid w:val="00A45DCD"/>
    <w:rsid w:val="00B054C1"/>
    <w:rsid w:val="00BB7955"/>
    <w:rsid w:val="00CE0F4A"/>
    <w:rsid w:val="00DD1052"/>
    <w:rsid w:val="00E17064"/>
    <w:rsid w:val="00E55B5A"/>
    <w:rsid w:val="00F458D7"/>
    <w:rsid w:val="00FD37EC"/>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color w:val="000000"/>
        <w:sz w:val="24"/>
        <w:szCs w:val="24"/>
        <w:lang w:val="es-AR"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194A"/>
  </w:style>
  <w:style w:type="paragraph" w:styleId="Ttulo2">
    <w:name w:val="heading 2"/>
    <w:basedOn w:val="Normal"/>
    <w:link w:val="Ttulo2Car"/>
    <w:uiPriority w:val="9"/>
    <w:qFormat/>
    <w:rsid w:val="00B054C1"/>
    <w:pPr>
      <w:spacing w:before="100" w:beforeAutospacing="1" w:after="100" w:afterAutospacing="1" w:line="240" w:lineRule="auto"/>
      <w:outlineLvl w:val="1"/>
    </w:pPr>
    <w:rPr>
      <w:rFonts w:eastAsia="Times New Roman"/>
      <w:b/>
      <w:bCs/>
      <w:color w:val="auto"/>
      <w:sz w:val="36"/>
      <w:szCs w:val="36"/>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B054C1"/>
    <w:rPr>
      <w:rFonts w:eastAsia="Times New Roman"/>
      <w:b/>
      <w:bCs/>
      <w:color w:val="auto"/>
      <w:sz w:val="36"/>
      <w:szCs w:val="36"/>
      <w:lang w:eastAsia="es-AR"/>
    </w:rPr>
  </w:style>
  <w:style w:type="character" w:styleId="Textoennegrita">
    <w:name w:val="Strong"/>
    <w:basedOn w:val="Fuentedeprrafopredeter"/>
    <w:uiPriority w:val="22"/>
    <w:qFormat/>
    <w:rsid w:val="00B054C1"/>
    <w:rPr>
      <w:b/>
      <w:bCs/>
    </w:rPr>
  </w:style>
  <w:style w:type="character" w:styleId="nfasis">
    <w:name w:val="Emphasis"/>
    <w:basedOn w:val="Fuentedeprrafopredeter"/>
    <w:uiPriority w:val="20"/>
    <w:qFormat/>
    <w:rsid w:val="00B054C1"/>
    <w:rPr>
      <w:i/>
      <w:iCs/>
    </w:rPr>
  </w:style>
  <w:style w:type="paragraph" w:styleId="Prrafodelista">
    <w:name w:val="List Paragraph"/>
    <w:basedOn w:val="Normal"/>
    <w:uiPriority w:val="34"/>
    <w:qFormat/>
    <w:rsid w:val="00B054C1"/>
    <w:pPr>
      <w:ind w:left="720"/>
      <w:contextualSpacing/>
    </w:pPr>
  </w:style>
</w:styles>
</file>

<file path=word/webSettings.xml><?xml version="1.0" encoding="utf-8"?>
<w:webSettings xmlns:r="http://schemas.openxmlformats.org/officeDocument/2006/relationships" xmlns:w="http://schemas.openxmlformats.org/wordprocessingml/2006/main">
  <w:divs>
    <w:div w:id="165401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2000</Words>
  <Characters>11000</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alicia taliercio</dc:creator>
  <cp:lastModifiedBy>alicia taliercio</cp:lastModifiedBy>
  <cp:revision>2</cp:revision>
  <dcterms:created xsi:type="dcterms:W3CDTF">2025-02-21T13:34:00Z</dcterms:created>
  <dcterms:modified xsi:type="dcterms:W3CDTF">2025-02-21T13:34:00Z</dcterms:modified>
</cp:coreProperties>
</file>