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963" w:rsidRDefault="0016324A">
      <w:pPr>
        <w:spacing w:before="400" w:after="120"/>
        <w:jc w:val="center"/>
      </w:pPr>
      <w:r>
        <w:rPr>
          <w:b/>
          <w:bCs/>
          <w:caps/>
          <w:color w:val="1F3864"/>
          <w:sz w:val="36"/>
          <w:szCs w:val="36"/>
        </w:rPr>
        <w:t>dictemen</w:t>
      </w:r>
      <w:r w:rsidR="00323421">
        <w:rPr>
          <w:b/>
          <w:bCs/>
          <w:caps/>
          <w:color w:val="1F3864"/>
          <w:sz w:val="36"/>
          <w:szCs w:val="36"/>
        </w:rPr>
        <w:t xml:space="preserve"> JURÍDIC</w:t>
      </w:r>
      <w:r>
        <w:rPr>
          <w:b/>
          <w:bCs/>
          <w:caps/>
          <w:color w:val="1F3864"/>
          <w:sz w:val="36"/>
          <w:szCs w:val="36"/>
        </w:rPr>
        <w:t>o</w:t>
      </w:r>
    </w:p>
    <w:p w:rsidR="00313963" w:rsidRDefault="00323421">
      <w:pPr>
        <w:spacing w:after="80"/>
        <w:jc w:val="center"/>
      </w:pPr>
      <w:r>
        <w:rPr>
          <w:b/>
          <w:bCs/>
          <w:color w:val="2E5496"/>
          <w:sz w:val="28"/>
          <w:szCs w:val="28"/>
        </w:rPr>
        <w:t>CGT c/ Estado Nacional y la Ley 27.802</w:t>
      </w:r>
    </w:p>
    <w:p w:rsidR="00313963" w:rsidRDefault="00323421">
      <w:pPr>
        <w:spacing w:after="80"/>
        <w:jc w:val="center"/>
      </w:pPr>
      <w:r>
        <w:rPr>
          <w:i/>
          <w:iCs/>
          <w:color w:val="2E5496"/>
        </w:rPr>
        <w:t>desde la perspectiva del Derecho Internacional de los Derechos Humanos</w:t>
      </w:r>
    </w:p>
    <w:p w:rsidR="00313963" w:rsidRDefault="00323421">
      <w:pPr>
        <w:pBdr>
          <w:bottom w:val="single" w:sz="12" w:space="1" w:color="1F3864"/>
        </w:pBdr>
        <w:spacing w:before="80" w:after="80"/>
        <w:jc w:val="center"/>
      </w:pPr>
      <w:r>
        <w:rPr>
          <w:color w:val="666666"/>
          <w:sz w:val="20"/>
          <w:szCs w:val="20"/>
        </w:rPr>
        <w:t>Exp. CNT-10308/2026  |  Resolución del 30 de marzo de 2026</w:t>
      </w:r>
    </w:p>
    <w:p w:rsidR="00313963" w:rsidRDefault="0016324A" w:rsidP="0016324A">
      <w:pPr>
        <w:spacing w:before="320"/>
        <w:jc w:val="both"/>
      </w:pPr>
      <w:r>
        <w:t xml:space="preserve">El </w:t>
      </w:r>
      <w:r w:rsidR="001A73BB">
        <w:t xml:space="preserve">Instituto </w:t>
      </w:r>
      <w:r>
        <w:t xml:space="preserve">de Derechos Humanos ofrece </w:t>
      </w:r>
      <w:r w:rsidR="001A73BB">
        <w:t>los siguientes</w:t>
      </w:r>
      <w:r>
        <w:t xml:space="preserve"> aportes jurídicos y análisis como insumo a los letrados que litiguen en el fuero laboral para fut</w:t>
      </w:r>
      <w:r w:rsidR="001A73BB">
        <w:t>u</w:t>
      </w:r>
      <w:r>
        <w:t>ras acciones individuales y colectivas dada la naturaleza estructural y expansiva de la acción entablada por la CGT</w:t>
      </w:r>
      <w:r w:rsidR="001A73BB">
        <w:t xml:space="preserve"> que podrí</w:t>
      </w:r>
      <w:r>
        <w:t>an ser de utilidad para fundar demandas individuales, reforzar medidas cautelares propias o invocar el estandar de “verosimilitud calificada” y el peligro en la demora estructural y asi cuestionar la ap</w:t>
      </w:r>
      <w:r w:rsidR="001A73BB">
        <w:t>l</w:t>
      </w:r>
      <w:r>
        <w:t>icación de la Ley Nº 27.802.</w:t>
      </w:r>
    </w:p>
    <w:p w:rsidR="001A73BB" w:rsidRDefault="001A73BB" w:rsidP="0016324A">
      <w:pPr>
        <w:spacing w:before="320"/>
        <w:jc w:val="both"/>
      </w:pPr>
      <w:r>
        <w:t>Los siguientes argumentos no reemplaza el analisis que pueda realizar el letrado laboralista con la jurisprudencia del fuero sino que refuerzan los mismos desde la perspectiva del derecho internacional de los derechos humanos en particular los que integran el bloque de constitucionalidad.</w:t>
      </w:r>
    </w:p>
    <w:p w:rsidR="0016324A" w:rsidRDefault="0016324A">
      <w:pPr>
        <w:spacing w:before="320"/>
      </w:pPr>
    </w:p>
    <w:p w:rsidR="00313963" w:rsidRDefault="00323421">
      <w:pPr>
        <w:pStyle w:val="Heading10"/>
      </w:pPr>
      <w:r>
        <w:t>I. Encuadre preliminar</w:t>
      </w:r>
    </w:p>
    <w:p w:rsidR="00313963" w:rsidRDefault="00323421">
      <w:pPr>
        <w:spacing w:before="160" w:after="160"/>
        <w:jc w:val="both"/>
      </w:pPr>
      <w:r>
        <w:t>La resolución cautelar dictada el 30 de marzo de 2026 por el juez Raúl Horacio Ojeda en el expediente CNT-10308/2026 constituye un pronunciamiento de singular relevancia institucional. No solo suspende cautelarmente numerosos artículos de la Ley 27.802 (Le</w:t>
      </w:r>
      <w:r>
        <w:t>y de Modernización Laboral), sino que lo hace desde una perspectiva que integra el control de convencionalidad como eje estructural del razonamiento judicial. Ello invita a un análisis desde la dogmática iusinternacionalista de los derechos humanos, con pa</w:t>
      </w:r>
      <w:r>
        <w:t>rticular atención al sistema interamericano.</w:t>
      </w:r>
    </w:p>
    <w:p w:rsidR="00313963" w:rsidRDefault="00323421">
      <w:pPr>
        <w:pStyle w:val="Heading10"/>
      </w:pPr>
      <w:r>
        <w:t>II. El principio de progresividad y la prohibición de regresividad: fundamentos normativos e interpretativos</w:t>
      </w:r>
    </w:p>
    <w:p w:rsidR="00313963" w:rsidRDefault="00323421">
      <w:pPr>
        <w:pStyle w:val="Heading20"/>
      </w:pPr>
      <w:r>
        <w:t>2.1. Base convencional</w:t>
      </w:r>
    </w:p>
    <w:p w:rsidR="00313963" w:rsidRDefault="00323421">
      <w:pPr>
        <w:spacing w:before="120" w:after="120"/>
        <w:jc w:val="both"/>
      </w:pPr>
      <w:r>
        <w:t>El principio de progresividad en materia de derechos económicos, sociales y cul</w:t>
      </w:r>
      <w:r>
        <w:t>turales (DESC) tiene raigambre múltiple en el bloque de constitucionalidad federal argentino (art. 75 inc. 22 CN):</w:t>
      </w:r>
    </w:p>
    <w:p w:rsidR="00313963" w:rsidRDefault="00323421">
      <w:pPr>
        <w:spacing w:before="100" w:after="80"/>
        <w:ind w:left="720"/>
        <w:jc w:val="both"/>
      </w:pPr>
      <w:r>
        <w:rPr>
          <w:b/>
          <w:bCs/>
        </w:rPr>
        <w:t xml:space="preserve">Art. 26 de la Convención Americana sobre Derechos Humanos (CADH): </w:t>
      </w:r>
      <w:r>
        <w:t>compromete a los Estados a adoptar providencias para lograr progresivamente</w:t>
      </w:r>
      <w:r>
        <w:t xml:space="preserve"> la plena efectividad de los derechos derivados de las normas económicas, sociales y sobre educación, ciencia y cultura contenidas en la Carta de la OEA.</w:t>
      </w:r>
    </w:p>
    <w:p w:rsidR="00313963" w:rsidRDefault="00323421">
      <w:pPr>
        <w:spacing w:before="80" w:after="80"/>
        <w:ind w:left="720"/>
        <w:jc w:val="both"/>
      </w:pPr>
      <w:r>
        <w:rPr>
          <w:b/>
          <w:bCs/>
        </w:rPr>
        <w:lastRenderedPageBreak/>
        <w:t xml:space="preserve">Art. 2.1 del PIDESC: </w:t>
      </w:r>
      <w:r>
        <w:t>obliga a cada Estado a adoptar medidas hasta el máximo de los recursos disponible</w:t>
      </w:r>
      <w:r>
        <w:t>s para lograr progresivamente la plena efectividad de los derechos reconocidos.</w:t>
      </w:r>
    </w:p>
    <w:p w:rsidR="00313963" w:rsidRDefault="00323421">
      <w:pPr>
        <w:spacing w:before="80" w:after="80"/>
        <w:ind w:left="720"/>
        <w:jc w:val="both"/>
      </w:pPr>
      <w:r>
        <w:rPr>
          <w:b/>
          <w:bCs/>
        </w:rPr>
        <w:t xml:space="preserve">Art. 1 del Protocolo de San Salvador: </w:t>
      </w:r>
      <w:r>
        <w:t>complementa la CADH en materia de DESC comprometiendo a los Estados a adoptar las medidas necesarias hasta el máximo de los recursos dispo</w:t>
      </w:r>
      <w:r>
        <w:t>nibles.</w:t>
      </w:r>
    </w:p>
    <w:p w:rsidR="00313963" w:rsidRDefault="00323421">
      <w:pPr>
        <w:spacing w:before="120" w:after="160"/>
        <w:jc w:val="both"/>
      </w:pPr>
      <w:r>
        <w:t>La dimensión negativa del principio —que es la que aquí interesa— es la prohibición de regresividad: la obligación de no adoptar medidas deliberadamente regresivas que reduzcan el nivel de goce efectivo de los derechos ya reconocidos, salvo que exi</w:t>
      </w:r>
      <w:r>
        <w:t>stan justificaciones suficientes bajo un escrutinio estricto.</w:t>
      </w:r>
    </w:p>
    <w:p w:rsidR="00313963" w:rsidRDefault="00323421">
      <w:pPr>
        <w:pStyle w:val="Heading20"/>
      </w:pPr>
      <w:r>
        <w:t>2.2. Desarrollo jurisprudencial interamericano</w:t>
      </w:r>
    </w:p>
    <w:p w:rsidR="00313963" w:rsidRDefault="00323421">
      <w:pPr>
        <w:spacing w:before="120" w:after="120"/>
        <w:jc w:val="both"/>
      </w:pPr>
      <w:r>
        <w:t>La Corte Interamericana de Derechos Humanos (Corte IDH) ha construido una doctrina progresiva sobre este principio que resulta directamente aplicab</w:t>
      </w:r>
      <w:r>
        <w:t>le al caso.</w:t>
      </w:r>
    </w:p>
    <w:p w:rsidR="00313963" w:rsidRDefault="00323421">
      <w:pPr>
        <w:spacing w:before="100" w:after="80"/>
        <w:jc w:val="both"/>
      </w:pPr>
      <w:r>
        <w:rPr>
          <w:b/>
          <w:bCs/>
          <w:i/>
          <w:iCs/>
        </w:rPr>
        <w:t xml:space="preserve">Lagos del Campo c. Perú (2017): </w:t>
      </w:r>
      <w:r>
        <w:t>La Corte IDH dio el paso histórico de declarar justiciable el art. 26 CADH de manera autónoma, reconociendo la exigibilidad directa de los derechos laborales derivados de dicha norma convencional. Este pronunciam</w:t>
      </w:r>
      <w:r>
        <w:t>iento quebró la larga discusión sobre la naturaleza meramente programática de los DESC.</w:t>
      </w:r>
    </w:p>
    <w:p w:rsidR="00313963" w:rsidRDefault="00323421">
      <w:pPr>
        <w:spacing w:before="80" w:after="80"/>
        <w:jc w:val="both"/>
      </w:pPr>
      <w:r>
        <w:rPr>
          <w:b/>
          <w:bCs/>
          <w:i/>
          <w:iCs/>
        </w:rPr>
        <w:t xml:space="preserve">Spoltore c. Argentina (2020): </w:t>
      </w:r>
      <w:r>
        <w:t>Profundizó esta línea aplicándola específicamente a los derechos laborales individuales, y reafirmó que la estabilidad en el empleo y las condiciones de trabajo dignas constituyen derechos justiciables bajo el art. 26 CADH.</w:t>
      </w:r>
    </w:p>
    <w:p w:rsidR="00313963" w:rsidRDefault="00323421">
      <w:pPr>
        <w:spacing w:before="80" w:after="80"/>
        <w:jc w:val="both"/>
      </w:pPr>
      <w:r>
        <w:rPr>
          <w:b/>
          <w:bCs/>
          <w:i/>
          <w:iCs/>
        </w:rPr>
        <w:t xml:space="preserve">Acevedo Buendía y otros c. Perú </w:t>
      </w:r>
      <w:r>
        <w:rPr>
          <w:b/>
          <w:bCs/>
          <w:i/>
          <w:iCs/>
        </w:rPr>
        <w:t xml:space="preserve">(2009): </w:t>
      </w:r>
      <w:r>
        <w:t xml:space="preserve">El tribunal estableció que el principio de progresividad implica que los Estados no pueden adoptar medidas regresivas respecto al nivel de protección ya alcanzado, y que toda medida que implique un retroceso requiere una justificación proporcional </w:t>
      </w:r>
      <w:r>
        <w:t>y razonable.</w:t>
      </w:r>
    </w:p>
    <w:p w:rsidR="00313963" w:rsidRDefault="00323421">
      <w:pPr>
        <w:spacing w:before="80" w:after="120"/>
        <w:jc w:val="both"/>
      </w:pPr>
      <w:r>
        <w:rPr>
          <w:b/>
          <w:bCs/>
          <w:i/>
          <w:iCs/>
        </w:rPr>
        <w:t xml:space="preserve">Trabajadores Cesados del Congreso c. Perú (2006): </w:t>
      </w:r>
      <w:r>
        <w:t>Afirmó que toda restricción a derechos laborales reconocidos debe superar el test de proporcionalidad bajo los parámetros del art. 30 CADH, lo que exige legalidad, finalidad legítima, idoneidad</w:t>
      </w:r>
      <w:r>
        <w:t>, necesidad y proporcionalidad en sentido estricto.</w:t>
      </w:r>
    </w:p>
    <w:p w:rsidR="00313963" w:rsidRDefault="00323421">
      <w:pPr>
        <w:spacing w:before="120" w:after="160"/>
        <w:jc w:val="both"/>
      </w:pPr>
      <w:r>
        <w:t>Esta exigencia de justificación reforzada es capital para evaluar la Ley 27.802: el Estado debe demostrar que las medidas regresivas obedecen a razones suficientemente serias, que han sido consideradas cu</w:t>
      </w:r>
      <w:r>
        <w:t>idadosamente, que no existen alternativas menos restrictivas, y que no afectan los contenidos mínimos esenciales de los derechos.</w:t>
      </w:r>
    </w:p>
    <w:p w:rsidR="00313963" w:rsidRDefault="00323421">
      <w:pPr>
        <w:pStyle w:val="Heading10"/>
      </w:pPr>
      <w:r>
        <w:t>III. El control de convencionalidad como deber del juez nacional</w:t>
      </w:r>
    </w:p>
    <w:p w:rsidR="00313963" w:rsidRDefault="00323421">
      <w:pPr>
        <w:spacing w:before="160" w:after="120"/>
        <w:jc w:val="both"/>
      </w:pPr>
      <w:r>
        <w:t>El juez Ojeda menciona expresamente el deber de control de convencionalidad citando el caso Almonacid Arellano c. Chile (2006). En ese precedente la Corte IDH estableció que los jueces nacionales, en tanto parte del aparato estatal, están obligados a verif</w:t>
      </w:r>
      <w:r>
        <w:t>icar que las normas internas no sean incompatibles con la CADH. El control de convencionalidad no es una facultad sino una obligación, que debe ejercerse de oficio y en el marco de las competencias de cada juez.</w:t>
      </w:r>
    </w:p>
    <w:p w:rsidR="00313963" w:rsidRDefault="00323421">
      <w:pPr>
        <w:spacing w:before="120" w:after="120"/>
        <w:jc w:val="both"/>
      </w:pPr>
      <w:r>
        <w:lastRenderedPageBreak/>
        <w:t xml:space="preserve">Posteriormente, en Cabrera García y Montiel </w:t>
      </w:r>
      <w:r>
        <w:t>Flores c. México (2010), la Corte IDH amplió este deber a todos los órganos vinculados a la administración de justicia en todos los niveles, consolidando la doctrina del control difuso de convencionalidad. En el contexto argentino, la CSJN receptó este est</w:t>
      </w:r>
      <w:r>
        <w:t>ándar desde Mazzeo (2007) y Rodríguez Pereyra (2012), este último estableciendo expresamente el control de convencionalidad difuso como deber de los jueces argentinos.</w:t>
      </w:r>
    </w:p>
    <w:p w:rsidR="00313963" w:rsidRDefault="00323421">
      <w:pPr>
        <w:spacing w:before="120" w:after="160"/>
        <w:jc w:val="both"/>
      </w:pPr>
      <w:r>
        <w:t>La resolución del juez Ojeda opera precisamente en esta lógica: al evaluar la verosimili</w:t>
      </w:r>
      <w:r>
        <w:t>tud del derecho con un estándar «calificado», está anticipando un juicio de probabilidad sobre la inconvencionalidad de las normas atacadas, lo que constituye un ejercicio legítimo y constitucionalmente fundado del control de convencionalidad en sede caute</w:t>
      </w:r>
      <w:r>
        <w:t>lar.</w:t>
      </w:r>
    </w:p>
    <w:p w:rsidR="00313963" w:rsidRDefault="00323421">
      <w:pPr>
        <w:pStyle w:val="Heading10"/>
      </w:pPr>
      <w:r>
        <w:t>IV. Análisis de las disposiciones suspendidas a la luz del principio de no regresividad</w:t>
      </w:r>
    </w:p>
    <w:p w:rsidR="00313963" w:rsidRDefault="00323421">
      <w:pPr>
        <w:spacing w:before="160" w:after="160"/>
        <w:jc w:val="both"/>
      </w:pPr>
      <w:r>
        <w:t>Los precedentes judiciales sobre la Ley 27.802 —junto con la propia resolución cautelar— permiten identificar al menos tres núcleos de regresividad que comprometen</w:t>
      </w:r>
      <w:r>
        <w:t xml:space="preserve"> estándares convencionales consolidados.</w:t>
      </w:r>
    </w:p>
    <w:p w:rsidR="00313963" w:rsidRDefault="00323421">
      <w:pPr>
        <w:pStyle w:val="Heading20"/>
      </w:pPr>
      <w:r>
        <w:t>4.1. Regresividad en el ámbito del derecho individual del trabajo</w:t>
      </w:r>
    </w:p>
    <w:p w:rsidR="00313963" w:rsidRDefault="00323421">
      <w:pPr>
        <w:spacing w:before="120" w:after="120"/>
        <w:jc w:val="both"/>
      </w:pPr>
      <w:r>
        <w:rPr>
          <w:b/>
          <w:bCs/>
        </w:rPr>
        <w:t xml:space="preserve">La supresión del in dubio pro operario </w:t>
      </w:r>
      <w:r>
        <w:t>(art. 3 de la Ley 27.802, que sustituye el art. 9 LCT) constituye quizás la modificación más simbólicamente re</w:t>
      </w:r>
      <w:r>
        <w:t>gresiva. Este principio hermenéutico tiene arraigo no solo en el derecho interno sino en el corpus iuris interamericano: la Corte IDH, en su Opinión Consultiva OC-18/03 sobre la Condición Jurídica y Derechos de los Migrantes Indocumentados, afirmó que el p</w:t>
      </w:r>
      <w:r>
        <w:t>rincipio de igualdad y no discriminación en materia laboral impone interpretar las normas en favor del trabajador como parte estructuralmente débil de la relación.</w:t>
      </w:r>
    </w:p>
    <w:p w:rsidR="00313963" w:rsidRDefault="00323421">
      <w:pPr>
        <w:spacing w:before="120" w:after="120"/>
        <w:jc w:val="both"/>
      </w:pPr>
      <w:r>
        <w:rPr>
          <w:b/>
          <w:bCs/>
        </w:rPr>
        <w:t xml:space="preserve">La modificación del régimen indemnizatorio </w:t>
      </w:r>
      <w:r>
        <w:t>(art. 51) y la posibilidad de pago en cuotas de c</w:t>
      </w:r>
      <w:r>
        <w:t>ondenas judiciales (art. 56) son regresivas desde el parámetro de la CSJN en Vizzotti (2004), que la propia resolución cautelar cita: los derechos constitucionales tienen un contenido que les provee la propia Constitución, y el legislador no puede vaciarlo</w:t>
      </w:r>
      <w:r>
        <w:t xml:space="preserve"> arbitrariamente. El pago diferido de una indemnización de carácter alimentario desnaturaliza la función tuitiva de la norma, lo que fue señalado por la Cámara del Trabajo de Córdoba al declarar la inconstitucionalidad del art. 56.</w:t>
      </w:r>
    </w:p>
    <w:p w:rsidR="00313963" w:rsidRDefault="00323421">
      <w:pPr>
        <w:spacing w:before="120" w:after="160"/>
        <w:jc w:val="both"/>
      </w:pPr>
      <w:r>
        <w:rPr>
          <w:b/>
          <w:bCs/>
        </w:rPr>
        <w:t>El tope a la actualizaci</w:t>
      </w:r>
      <w:r>
        <w:rPr>
          <w:b/>
          <w:bCs/>
        </w:rPr>
        <w:t xml:space="preserve">ón de créditos en juicios en trámite </w:t>
      </w:r>
      <w:r>
        <w:t>(art. 55) reproduce el vicio que la propia CNAT había declarado inconstitucional respecto de los arts. 84 y 85 del DNU 70/2023: implica una licuación de créditos alimentarios que viola el principio de intangibilidad del</w:t>
      </w:r>
      <w:r>
        <w:t xml:space="preserve"> salario reconocido por el Convenio 95 de la OIT y por el art. 14 bis CN.</w:t>
      </w:r>
    </w:p>
    <w:p w:rsidR="00313963" w:rsidRDefault="00323421">
      <w:pPr>
        <w:pStyle w:val="Heading20"/>
      </w:pPr>
      <w:r>
        <w:t>4.2. Regresividad en materia de libertad sindical</w:t>
      </w:r>
    </w:p>
    <w:p w:rsidR="00313963" w:rsidRDefault="00323421">
      <w:pPr>
        <w:spacing w:before="120" w:after="120"/>
        <w:jc w:val="both"/>
      </w:pPr>
      <w:r>
        <w:t>Los arts. 138 a 149 de la Ley 27.802 introducen restricciones significativas al ejercicio de la libertad sindical: limitaciones al d</w:t>
      </w:r>
      <w:r>
        <w:t xml:space="preserve">erecho de asamblea, ampliación del concepto de práctica desleal para incluir conductas sindicales, atomización de </w:t>
      </w:r>
      <w:r>
        <w:lastRenderedPageBreak/>
        <w:t>la representación colectiva, reducción de la tutela sindical, restricciones al crédito horario para actividad gremial.</w:t>
      </w:r>
    </w:p>
    <w:p w:rsidR="00313963" w:rsidRDefault="00323421">
      <w:pPr>
        <w:spacing w:before="120" w:after="120"/>
        <w:jc w:val="both"/>
      </w:pPr>
      <w:r>
        <w:t>Estos contenidos compro</w:t>
      </w:r>
      <w:r>
        <w:t>meten directamente los Convenios 87 y 98 de la OIT —que integran el bloque de constitucionalidad federal por vía del art. 75 inc. 22 CN— y el art. 8 del PIDESC. La Corte IDH, en Huilca Tecse c. Perú (2005), reconoció la libertad sindical como derecho prote</w:t>
      </w:r>
      <w:r>
        <w:t>gido bajo el art. 16 CADH en su dimensión colectiva, y estableció que el Estado tiene una obligación de garantía que incluye remover los obstáculos que impidan su ejercicio efectivo.</w:t>
      </w:r>
    </w:p>
    <w:p w:rsidR="00313963" w:rsidRDefault="00323421">
      <w:pPr>
        <w:spacing w:before="120" w:after="160"/>
        <w:jc w:val="both"/>
      </w:pPr>
      <w:r>
        <w:t>La atomización sindical que favorecen los arts. 140 y 141 —equiparando si</w:t>
      </w:r>
      <w:r>
        <w:t>ndicatos con y sin personería en cuanto a representación del interés colectivo y facilitando la creación de sindicatos de empresa— reproduce un modelo de debilitamiento de la acción colectiva que el Comité de Libertad Sindical de la OIT ha cuestionado sist</w:t>
      </w:r>
      <w:r>
        <w:t>emáticamente en sus observaciones sobre Argentina.</w:t>
      </w:r>
    </w:p>
    <w:p w:rsidR="00313963" w:rsidRDefault="00323421">
      <w:pPr>
        <w:pStyle w:val="Heading20"/>
      </w:pPr>
      <w:r>
        <w:t>4.3. Regresividad en materia de tutela judicial efectiva</w:t>
      </w:r>
    </w:p>
    <w:p w:rsidR="00313963" w:rsidRDefault="00323421">
      <w:pPr>
        <w:spacing w:before="120" w:after="160"/>
        <w:jc w:val="both"/>
      </w:pPr>
      <w:r>
        <w:t>El art. 79 de la Ley 27.802, que desplaza la competencia de la Justicia Nacional del Trabajo hacia el fuero Contencioso Administrativo Federal cuand</w:t>
      </w:r>
      <w:r>
        <w:t>o el Estado es parte, afecta el derecho a la tutela judicial efectiva consagrado en los arts. 8 y 25 CADH. El juez Ojeda lo señala con precisión: la especialización de los tribunales laborales es un prerrequisito de la tutela judicial efectiva en materia l</w:t>
      </w:r>
      <w:r>
        <w:t>aboral, conforme la OIT ha documentado. Privar al trabajador del fuero especializado cuando litiga contra el Estado constituye una asimetría procesal regresiva que dificulta el acceso a la justicia.</w:t>
      </w:r>
    </w:p>
    <w:p w:rsidR="00313963" w:rsidRDefault="00323421">
      <w:pPr>
        <w:pStyle w:val="Heading10"/>
      </w:pPr>
      <w:r>
        <w:t>V. La cautelar como instrumento de control de convenciona</w:t>
      </w:r>
      <w:r>
        <w:t>lidad preventivo</w:t>
      </w:r>
    </w:p>
    <w:p w:rsidR="00313963" w:rsidRDefault="00323421">
      <w:pPr>
        <w:spacing w:before="160" w:after="120"/>
        <w:jc w:val="both"/>
      </w:pPr>
      <w:r>
        <w:t xml:space="preserve">Desde el enfoque del derecho internacional de los derechos humanos, la medida cautelar dictada puede leerse como un mecanismo de prevención de violaciones convencionales, coherente con la función que el art. 1.1 CADH asigna a los Estados: </w:t>
      </w:r>
      <w:r>
        <w:t>garantizar el libre y pleno ejercicio de los derechos reconocidos en la Convención.</w:t>
      </w:r>
    </w:p>
    <w:p w:rsidR="00313963" w:rsidRDefault="00323421">
      <w:pPr>
        <w:spacing w:before="120" w:after="120"/>
        <w:jc w:val="both"/>
      </w:pPr>
      <w:r>
        <w:t>El juez Ojeda construye un estándar cautelar exigente pero adecuado al objeto del litigio: la «verosimilitud del derecho calificada» que invoca no es una categoría arbitraria, sino una modulación del fumus boni iuris que resulta razonable cuando están comp</w:t>
      </w:r>
      <w:r>
        <w:t>rometidos derechos fundamentales de incidencia colectiva. Esta modulación es consistente con la doctrina de la CSJN en Camacho Acosta (1997) y con el principio de precaución que el propio sistema interamericano aplica cuando están en juego derechos de cará</w:t>
      </w:r>
      <w:r>
        <w:t>cter irreversible.</w:t>
      </w:r>
    </w:p>
    <w:p w:rsidR="00313963" w:rsidRDefault="00323421">
      <w:pPr>
        <w:spacing w:before="120" w:after="160"/>
        <w:jc w:val="both"/>
      </w:pPr>
      <w:r>
        <w:t>La irreversibilidad de los daños es precisamente el elemento que justifica la urgencia cautelar desde la perspectiva convencional: si la Ley 27.802 se aplica durante meses o años antes de una sentencia definitiva, se producirán situacion</w:t>
      </w:r>
      <w:r>
        <w:t>es jurídicas consolidadas que harán prácticamente imposible la restitución integral. La Corte IDH ha señalado en múltiples oportunidades que la restitutio in integrum es el estándar de reparación preferente, pero que su viabilidad depende de que el daño no</w:t>
      </w:r>
      <w:r>
        <w:t xml:space="preserve"> se haya consumado de manera irreversible.</w:t>
      </w:r>
    </w:p>
    <w:p w:rsidR="00313963" w:rsidRDefault="00323421">
      <w:pPr>
        <w:pStyle w:val="Heading10"/>
      </w:pPr>
      <w:r>
        <w:t>VI. La defensa del Estado y su insuficiencia convencional</w:t>
      </w:r>
    </w:p>
    <w:p w:rsidR="00313963" w:rsidRDefault="00323421">
      <w:pPr>
        <w:spacing w:before="160" w:after="120"/>
        <w:jc w:val="both"/>
      </w:pPr>
      <w:r>
        <w:lastRenderedPageBreak/>
        <w:t>El Estado Nacional argumentó que la Ley 27.802 goza de presunción de legitimidad como acto legislativo y que su suspensión afectaría el principio de divisi</w:t>
      </w:r>
      <w:r>
        <w:t>ón de poderes. Este argumento, aunque relevante en el plano institucional, es insuficiente desde la perspectiva convencional por dos razones.</w:t>
      </w:r>
    </w:p>
    <w:p w:rsidR="00313963" w:rsidRDefault="00323421">
      <w:pPr>
        <w:spacing w:before="120" w:after="120"/>
        <w:jc w:val="both"/>
      </w:pPr>
      <w:r>
        <w:rPr>
          <w:b/>
          <w:bCs/>
        </w:rPr>
        <w:t xml:space="preserve">Primera: </w:t>
      </w:r>
      <w:r>
        <w:t>la Corte IDH ha establecido de manera reiterada —desde Almonacid Arellano hasta Gelman c. Uruguay (2011)—</w:t>
      </w:r>
      <w:r>
        <w:t xml:space="preserve"> que la soberanía del Poder Legislativo no es un escudo frente al control de convencionalidad. Un Estado no puede alegar la legitimidad democrática de una ley para eximirse de las obligaciones contraídas bajo la CADH. En Gelman, la Corte fue especialmente </w:t>
      </w:r>
      <w:r>
        <w:t>enfática: ni siquiera una norma respaldada por referéndum popular puede ser invocada para justificar violaciones a la Convención.</w:t>
      </w:r>
    </w:p>
    <w:p w:rsidR="00313963" w:rsidRDefault="00323421">
      <w:pPr>
        <w:spacing w:before="120" w:after="160"/>
        <w:jc w:val="both"/>
      </w:pPr>
      <w:r>
        <w:rPr>
          <w:b/>
          <w:bCs/>
        </w:rPr>
        <w:t xml:space="preserve">Segunda: </w:t>
      </w:r>
      <w:r>
        <w:t>la defensa estatal no logró rebatir el contenido concreto de las objeciones convencionales. El juez Ojeda lo señala e</w:t>
      </w:r>
      <w:r>
        <w:t>xpresamente al notar la ausencia de defensa explícita respecto de las normas que afectan la libertad sindical. En el marco del control de convencionalidad, cuando el Estado no ofrece justificación suficiente para una medida regresiva, la presunción opera e</w:t>
      </w:r>
      <w:r>
        <w:t>n contra de la norma impugnada.</w:t>
      </w:r>
    </w:p>
    <w:p w:rsidR="00313963" w:rsidRDefault="00323421">
      <w:pPr>
        <w:pStyle w:val="Heading10"/>
      </w:pPr>
      <w:r>
        <w:t>VII. Conclusión valorativa</w:t>
      </w:r>
    </w:p>
    <w:p w:rsidR="00313963" w:rsidRDefault="00323421">
      <w:pPr>
        <w:spacing w:before="160" w:after="120"/>
        <w:jc w:val="both"/>
      </w:pPr>
      <w:r>
        <w:t xml:space="preserve">La resolución del juez Ojeda es jurídicamente sólida desde el enfoque del derecho internacional de los derechos humanos. Su razonamiento integra de manera coherente el control de convencionalidad, </w:t>
      </w:r>
      <w:r>
        <w:t>la jurisprudencia de la Corte IDH sobre DESC y libertad sindical, el principio de no regresividad y la doctrina constitucional argentina sobre derechos laborales.</w:t>
      </w:r>
    </w:p>
    <w:p w:rsidR="00313963" w:rsidRDefault="00323421">
      <w:pPr>
        <w:spacing w:before="120" w:after="120"/>
        <w:jc w:val="both"/>
      </w:pPr>
      <w:r>
        <w:t>La Ley 27.802 presenta, al menos en los artículos suspendidos, indicios serios de incompatibi</w:t>
      </w:r>
      <w:r>
        <w:t>lidad con el art. 26 CADH, los arts. 8 y 25 CADH en su dimensión laboral, y los Convenios 87 y 98 de la OIT incorporados al bloque de constitucionalidad. La magnitud de las modificaciones regresivas —que no se limitan a aspectos periféricos sino que altera</w:t>
      </w:r>
      <w:r>
        <w:t>n principios estructurales del derecho del trabajo como el in dubio pro operario, la irrenunciabilidad, el carácter alimentario de la indemnización y la autonomía sindical— impone al Estado una carga argumentativa que, en esta etapa cautelar, no ha sido sa</w:t>
      </w:r>
      <w:r>
        <w:t>tisfecha.</w:t>
      </w:r>
    </w:p>
    <w:p w:rsidR="00313963" w:rsidRDefault="00323421">
      <w:pPr>
        <w:spacing w:before="120" w:after="200"/>
        <w:jc w:val="both"/>
      </w:pPr>
      <w:r>
        <w:t>El principio de no regresividad no impide toda reforma laboral, pero sí exige que cualquier retroceso en el nivel de protección sea excepcional, esté plenamente justificado, sea proporcional a los fines perseguidos y no afecte los contenidos míni</w:t>
      </w:r>
      <w:r>
        <w:t>mos esenciales de los derechos involucrados. La Ley 27.802, en la amplitud y profundidad de sus modificaciones, enfrenta un test de convencionalidad que, prima facie, no logra superar.</w:t>
      </w:r>
    </w:p>
    <w:p w:rsidR="0016324A" w:rsidRDefault="0016324A">
      <w:pPr>
        <w:spacing w:before="120" w:after="200"/>
        <w:jc w:val="both"/>
      </w:pPr>
    </w:p>
    <w:p w:rsidR="0016324A" w:rsidRPr="0016324A" w:rsidRDefault="0016324A" w:rsidP="0016324A">
      <w:pPr>
        <w:spacing w:before="120" w:after="200"/>
        <w:jc w:val="right"/>
        <w:rPr>
          <w:b/>
        </w:rPr>
      </w:pPr>
      <w:r w:rsidRPr="0016324A">
        <w:rPr>
          <w:b/>
        </w:rPr>
        <w:t>LAUTARO EZEQUIEL PITTIER</w:t>
      </w:r>
    </w:p>
    <w:p w:rsidR="0016324A" w:rsidRPr="0016324A" w:rsidRDefault="0016324A" w:rsidP="0016324A">
      <w:pPr>
        <w:spacing w:before="120" w:after="200"/>
        <w:jc w:val="right"/>
        <w:rPr>
          <w:b/>
        </w:rPr>
      </w:pPr>
      <w:r w:rsidRPr="0016324A">
        <w:rPr>
          <w:b/>
        </w:rPr>
        <w:t>DIRECTOR DEL INSTITUTO DE DERECHOS HUMANOS DEL COLEGIO DE ABOGADOS DE LOMAS DE ZAMORA</w:t>
      </w:r>
    </w:p>
    <w:p w:rsidR="00313963" w:rsidRDefault="00323421">
      <w:pPr>
        <w:pBdr>
          <w:top w:val="single" w:sz="6" w:space="1" w:color="1F3864"/>
        </w:pBdr>
        <w:spacing w:before="320" w:after="80"/>
        <w:jc w:val="right"/>
      </w:pPr>
      <w:r>
        <w:rPr>
          <w:i/>
          <w:iCs/>
          <w:color w:val="444444"/>
          <w:sz w:val="22"/>
          <w:szCs w:val="22"/>
        </w:rPr>
        <w:t>Buenos Aires,</w:t>
      </w:r>
      <w:r w:rsidR="0016324A">
        <w:rPr>
          <w:i/>
          <w:iCs/>
          <w:color w:val="444444"/>
          <w:sz w:val="22"/>
          <w:szCs w:val="22"/>
        </w:rPr>
        <w:t>31 de</w:t>
      </w:r>
      <w:r>
        <w:rPr>
          <w:i/>
          <w:iCs/>
          <w:color w:val="444444"/>
          <w:sz w:val="22"/>
          <w:szCs w:val="22"/>
        </w:rPr>
        <w:t xml:space="preserve"> marzo de 2026</w:t>
      </w:r>
    </w:p>
    <w:sectPr w:rsidR="00313963" w:rsidSect="00313963">
      <w:headerReference w:type="default" r:id="rId7"/>
      <w:footerReference w:type="default" r:id="rId8"/>
      <w:pgSz w:w="11906" w:h="16838"/>
      <w:pgMar w:top="1440" w:right="1440" w:bottom="1440" w:left="1700" w:header="708"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3421" w:rsidRDefault="00323421" w:rsidP="00313963">
      <w:r>
        <w:separator/>
      </w:r>
    </w:p>
  </w:endnote>
  <w:endnote w:type="continuationSeparator" w:id="0">
    <w:p w:rsidR="00323421" w:rsidRDefault="00323421" w:rsidP="00313963">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963" w:rsidRDefault="00323421">
    <w:pPr>
      <w:jc w:val="center"/>
    </w:pPr>
    <w:r>
      <w:rPr>
        <w:color w:val="666666"/>
        <w:sz w:val="18"/>
        <w:szCs w:val="18"/>
      </w:rPr>
      <w:t xml:space="preserve">Página </w:t>
    </w:r>
    <w:r w:rsidR="00313963">
      <w:rPr>
        <w:color w:val="666666"/>
        <w:sz w:val="18"/>
        <w:szCs w:val="18"/>
      </w:rPr>
      <w:fldChar w:fldCharType="begin"/>
    </w:r>
    <w:r>
      <w:rPr>
        <w:color w:val="666666"/>
        <w:sz w:val="18"/>
        <w:szCs w:val="18"/>
      </w:rPr>
      <w:instrText>PAGE</w:instrText>
    </w:r>
    <w:r w:rsidR="0016324A">
      <w:rPr>
        <w:color w:val="666666"/>
        <w:sz w:val="18"/>
        <w:szCs w:val="18"/>
      </w:rPr>
      <w:fldChar w:fldCharType="separate"/>
    </w:r>
    <w:r w:rsidR="001A73BB">
      <w:rPr>
        <w:noProof/>
        <w:color w:val="666666"/>
        <w:sz w:val="18"/>
        <w:szCs w:val="18"/>
      </w:rPr>
      <w:t>1</w:t>
    </w:r>
    <w:r w:rsidR="00313963">
      <w:rPr>
        <w:color w:val="666666"/>
        <w:sz w:val="18"/>
        <w:szCs w:val="18"/>
      </w:rPr>
      <w:fldChar w:fldCharType="end"/>
    </w:r>
    <w:r>
      <w:rPr>
        <w:color w:val="666666"/>
        <w:sz w:val="18"/>
        <w:szCs w:val="18"/>
      </w:rPr>
      <w:t xml:space="preserve"> de </w:t>
    </w:r>
    <w:r w:rsidR="00313963">
      <w:rPr>
        <w:color w:val="666666"/>
        <w:sz w:val="18"/>
        <w:szCs w:val="18"/>
      </w:rPr>
      <w:fldChar w:fldCharType="begin"/>
    </w:r>
    <w:r>
      <w:rPr>
        <w:color w:val="666666"/>
        <w:sz w:val="18"/>
        <w:szCs w:val="18"/>
      </w:rPr>
      <w:instrText>NUMPAGES</w:instrText>
    </w:r>
    <w:r w:rsidR="0016324A">
      <w:rPr>
        <w:color w:val="666666"/>
        <w:sz w:val="18"/>
        <w:szCs w:val="18"/>
      </w:rPr>
      <w:fldChar w:fldCharType="separate"/>
    </w:r>
    <w:r w:rsidR="001A73BB">
      <w:rPr>
        <w:noProof/>
        <w:color w:val="666666"/>
        <w:sz w:val="18"/>
        <w:szCs w:val="18"/>
      </w:rPr>
      <w:t>5</w:t>
    </w:r>
    <w:r w:rsidR="00313963">
      <w:rPr>
        <w:color w:val="666666"/>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3421" w:rsidRDefault="00323421" w:rsidP="00313963">
      <w:r>
        <w:separator/>
      </w:r>
    </w:p>
  </w:footnote>
  <w:footnote w:type="continuationSeparator" w:id="0">
    <w:p w:rsidR="00323421" w:rsidRDefault="00323421" w:rsidP="003139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963" w:rsidRDefault="0016324A">
    <w:pPr>
      <w:pBdr>
        <w:bottom w:val="single" w:sz="6" w:space="1" w:color="2E5496"/>
      </w:pBdr>
      <w:rPr>
        <w:i/>
        <w:iCs/>
        <w:color w:val="666666"/>
        <w:sz w:val="18"/>
        <w:szCs w:val="18"/>
      </w:rPr>
    </w:pPr>
    <w:r>
      <w:rPr>
        <w:i/>
        <w:iCs/>
        <w:color w:val="666666"/>
        <w:sz w:val="18"/>
        <w:szCs w:val="18"/>
      </w:rPr>
      <w:t>Dictamen</w:t>
    </w:r>
    <w:r w:rsidR="00323421">
      <w:rPr>
        <w:i/>
        <w:iCs/>
        <w:color w:val="666666"/>
        <w:sz w:val="18"/>
        <w:szCs w:val="18"/>
      </w:rPr>
      <w:t xml:space="preserve"> Jurídic</w:t>
    </w:r>
    <w:r>
      <w:rPr>
        <w:i/>
        <w:iCs/>
        <w:color w:val="666666"/>
        <w:sz w:val="18"/>
        <w:szCs w:val="18"/>
      </w:rPr>
      <w:t>o</w:t>
    </w:r>
    <w:r w:rsidR="00323421">
      <w:rPr>
        <w:i/>
        <w:iCs/>
        <w:color w:val="666666"/>
        <w:sz w:val="18"/>
        <w:szCs w:val="18"/>
      </w:rPr>
      <w:t xml:space="preserve"> | CGT c/ Estado Nacional – Ley 27.802 | </w:t>
    </w:r>
    <w:r>
      <w:rPr>
        <w:i/>
        <w:iCs/>
        <w:color w:val="666666"/>
        <w:sz w:val="18"/>
        <w:szCs w:val="18"/>
      </w:rPr>
      <w:t>Instituto de Derechos Humanos CALZ</w:t>
    </w:r>
  </w:p>
  <w:p w:rsidR="0016324A" w:rsidRDefault="0016324A">
    <w:pPr>
      <w:pBdr>
        <w:bottom w:val="single" w:sz="6" w:space="1" w:color="2E5496"/>
      </w:pBdr>
    </w:pPr>
    <w:r>
      <w:rPr>
        <w:i/>
        <w:iCs/>
        <w:color w:val="666666"/>
        <w:sz w:val="18"/>
        <w:szCs w:val="18"/>
      </w:rPr>
      <w:t>Director : Lautaro Exequiel Pittier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2F7834"/>
    <w:multiLevelType w:val="hybridMultilevel"/>
    <w:tmpl w:val="678A8B5C"/>
    <w:lvl w:ilvl="0" w:tplc="D158B22C">
      <w:start w:val="1"/>
      <w:numFmt w:val="bullet"/>
      <w:lvlText w:val="●"/>
      <w:lvlJc w:val="left"/>
      <w:pPr>
        <w:ind w:left="720" w:hanging="360"/>
      </w:pPr>
    </w:lvl>
    <w:lvl w:ilvl="1" w:tplc="F0AE07EE">
      <w:start w:val="1"/>
      <w:numFmt w:val="bullet"/>
      <w:lvlText w:val="○"/>
      <w:lvlJc w:val="left"/>
      <w:pPr>
        <w:ind w:left="1440" w:hanging="360"/>
      </w:pPr>
    </w:lvl>
    <w:lvl w:ilvl="2" w:tplc="709EC992">
      <w:start w:val="1"/>
      <w:numFmt w:val="bullet"/>
      <w:lvlText w:val="■"/>
      <w:lvlJc w:val="left"/>
      <w:pPr>
        <w:ind w:left="2160" w:hanging="360"/>
      </w:pPr>
    </w:lvl>
    <w:lvl w:ilvl="3" w:tplc="89A62148">
      <w:start w:val="1"/>
      <w:numFmt w:val="bullet"/>
      <w:lvlText w:val="●"/>
      <w:lvlJc w:val="left"/>
      <w:pPr>
        <w:ind w:left="2880" w:hanging="360"/>
      </w:pPr>
    </w:lvl>
    <w:lvl w:ilvl="4" w:tplc="118EF5CC">
      <w:start w:val="1"/>
      <w:numFmt w:val="bullet"/>
      <w:lvlText w:val="○"/>
      <w:lvlJc w:val="left"/>
      <w:pPr>
        <w:ind w:left="3600" w:hanging="360"/>
      </w:pPr>
    </w:lvl>
    <w:lvl w:ilvl="5" w:tplc="18CA7E90">
      <w:start w:val="1"/>
      <w:numFmt w:val="bullet"/>
      <w:lvlText w:val="■"/>
      <w:lvlJc w:val="left"/>
      <w:pPr>
        <w:ind w:left="4320" w:hanging="360"/>
      </w:pPr>
    </w:lvl>
    <w:lvl w:ilvl="6" w:tplc="D834FA16">
      <w:start w:val="1"/>
      <w:numFmt w:val="bullet"/>
      <w:lvlText w:val="●"/>
      <w:lvlJc w:val="left"/>
      <w:pPr>
        <w:ind w:left="5040" w:hanging="360"/>
      </w:pPr>
    </w:lvl>
    <w:lvl w:ilvl="7" w:tplc="D3A63BC2">
      <w:start w:val="1"/>
      <w:numFmt w:val="bullet"/>
      <w:lvlText w:val="●"/>
      <w:lvlJc w:val="left"/>
      <w:pPr>
        <w:ind w:left="5760" w:hanging="360"/>
      </w:pPr>
    </w:lvl>
    <w:lvl w:ilvl="8" w:tplc="1346AFD8">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isplayBackgroundShape/>
  <w:defaultTabStop w:val="708"/>
  <w:hyphenationZone w:val="425"/>
  <w:characterSpacingControl w:val="doNotCompress"/>
  <w:footnotePr>
    <w:footnote w:id="-1"/>
    <w:footnote w:id="0"/>
  </w:footnotePr>
  <w:endnotePr>
    <w:endnote w:id="-1"/>
    <w:endnote w:id="0"/>
  </w:endnotePr>
  <w:compat/>
  <w:rsids>
    <w:rsidRoot w:val="00313963"/>
    <w:rsid w:val="0016324A"/>
    <w:rsid w:val="001A73BB"/>
    <w:rsid w:val="00313963"/>
    <w:rsid w:val="0032342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4"/>
        <w:szCs w:val="24"/>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qFormat/>
    <w:rsid w:val="00313963"/>
    <w:rPr>
      <w:sz w:val="56"/>
      <w:szCs w:val="56"/>
    </w:rPr>
  </w:style>
  <w:style w:type="paragraph" w:customStyle="1" w:styleId="Heading1">
    <w:name w:val="Heading 1"/>
    <w:qFormat/>
    <w:rsid w:val="00313963"/>
    <w:rPr>
      <w:color w:val="2E74B5"/>
      <w:sz w:val="32"/>
      <w:szCs w:val="32"/>
    </w:rPr>
  </w:style>
  <w:style w:type="paragraph" w:customStyle="1" w:styleId="Heading2">
    <w:name w:val="Heading 2"/>
    <w:qFormat/>
    <w:rsid w:val="00313963"/>
    <w:rPr>
      <w:color w:val="2E74B5"/>
      <w:sz w:val="26"/>
      <w:szCs w:val="26"/>
    </w:rPr>
  </w:style>
  <w:style w:type="paragraph" w:customStyle="1" w:styleId="Heading3">
    <w:name w:val="Heading 3"/>
    <w:qFormat/>
    <w:rsid w:val="00313963"/>
    <w:rPr>
      <w:color w:val="1F4D78"/>
    </w:rPr>
  </w:style>
  <w:style w:type="paragraph" w:customStyle="1" w:styleId="Heading4">
    <w:name w:val="Heading 4"/>
    <w:qFormat/>
    <w:rsid w:val="00313963"/>
    <w:rPr>
      <w:i/>
      <w:iCs/>
      <w:color w:val="2E74B5"/>
    </w:rPr>
  </w:style>
  <w:style w:type="paragraph" w:customStyle="1" w:styleId="Heading5">
    <w:name w:val="Heading 5"/>
    <w:qFormat/>
    <w:rsid w:val="00313963"/>
    <w:rPr>
      <w:color w:val="2E74B5"/>
    </w:rPr>
  </w:style>
  <w:style w:type="paragraph" w:customStyle="1" w:styleId="Heading6">
    <w:name w:val="Heading 6"/>
    <w:qFormat/>
    <w:rsid w:val="00313963"/>
    <w:rPr>
      <w:color w:val="1F4D78"/>
    </w:rPr>
  </w:style>
  <w:style w:type="paragraph" w:customStyle="1" w:styleId="Textoennegrita1">
    <w:name w:val="Texto en negrita1"/>
    <w:qFormat/>
    <w:rsid w:val="00313963"/>
    <w:rPr>
      <w:b/>
      <w:bCs/>
    </w:rPr>
  </w:style>
  <w:style w:type="paragraph" w:styleId="Prrafodelista">
    <w:name w:val="List Paragraph"/>
    <w:qFormat/>
    <w:rsid w:val="00313963"/>
  </w:style>
  <w:style w:type="character" w:styleId="Hipervnculo">
    <w:name w:val="Hyperlink"/>
    <w:uiPriority w:val="99"/>
    <w:unhideWhenUsed/>
    <w:rsid w:val="00313963"/>
    <w:rPr>
      <w:color w:val="0563C1"/>
      <w:u w:val="single"/>
    </w:rPr>
  </w:style>
  <w:style w:type="character" w:styleId="Refdenotaalpie">
    <w:name w:val="footnote reference"/>
    <w:uiPriority w:val="99"/>
    <w:semiHidden/>
    <w:unhideWhenUsed/>
    <w:rsid w:val="00313963"/>
    <w:rPr>
      <w:vertAlign w:val="superscript"/>
    </w:rPr>
  </w:style>
  <w:style w:type="paragraph" w:styleId="Textonotapie">
    <w:name w:val="footnote text"/>
    <w:link w:val="TextonotapieCar"/>
    <w:uiPriority w:val="99"/>
    <w:semiHidden/>
    <w:unhideWhenUsed/>
    <w:rsid w:val="00313963"/>
    <w:rPr>
      <w:sz w:val="20"/>
      <w:szCs w:val="20"/>
    </w:rPr>
  </w:style>
  <w:style w:type="character" w:customStyle="1" w:styleId="TextonotapieCar">
    <w:name w:val="Texto nota pie Car"/>
    <w:link w:val="Textonotapie"/>
    <w:uiPriority w:val="99"/>
    <w:semiHidden/>
    <w:unhideWhenUsed/>
    <w:rsid w:val="00313963"/>
    <w:rPr>
      <w:sz w:val="20"/>
      <w:szCs w:val="20"/>
    </w:rPr>
  </w:style>
  <w:style w:type="paragraph" w:customStyle="1" w:styleId="Heading10">
    <w:name w:val="Heading 1"/>
    <w:qFormat/>
    <w:rsid w:val="00313963"/>
    <w:pPr>
      <w:spacing w:before="320" w:after="160"/>
      <w:outlineLvl w:val="0"/>
    </w:pPr>
    <w:rPr>
      <w:b/>
      <w:bCs/>
      <w:color w:val="1F3864"/>
      <w:sz w:val="28"/>
      <w:szCs w:val="28"/>
    </w:rPr>
  </w:style>
  <w:style w:type="paragraph" w:customStyle="1" w:styleId="Heading20">
    <w:name w:val="Heading 2"/>
    <w:qFormat/>
    <w:rsid w:val="00313963"/>
    <w:pPr>
      <w:spacing w:before="240" w:after="120"/>
      <w:outlineLvl w:val="1"/>
    </w:pPr>
    <w:rPr>
      <w:b/>
      <w:bCs/>
      <w:color w:val="2E5496"/>
      <w:sz w:val="26"/>
      <w:szCs w:val="26"/>
    </w:rPr>
  </w:style>
  <w:style w:type="paragraph" w:customStyle="1" w:styleId="Heading30">
    <w:name w:val="Heading 3"/>
    <w:qFormat/>
    <w:rsid w:val="00313963"/>
    <w:pPr>
      <w:spacing w:before="200" w:after="100"/>
      <w:outlineLvl w:val="2"/>
    </w:pPr>
    <w:rPr>
      <w:b/>
      <w:bCs/>
      <w:color w:val="2E5496"/>
    </w:rPr>
  </w:style>
  <w:style w:type="paragraph" w:styleId="Encabezado">
    <w:name w:val="header"/>
    <w:basedOn w:val="Normal"/>
    <w:link w:val="EncabezadoCar"/>
    <w:uiPriority w:val="99"/>
    <w:semiHidden/>
    <w:unhideWhenUsed/>
    <w:rsid w:val="0016324A"/>
    <w:pPr>
      <w:tabs>
        <w:tab w:val="center" w:pos="4252"/>
        <w:tab w:val="right" w:pos="8504"/>
      </w:tabs>
    </w:pPr>
  </w:style>
  <w:style w:type="character" w:customStyle="1" w:styleId="EncabezadoCar">
    <w:name w:val="Encabezado Car"/>
    <w:basedOn w:val="Fuentedeprrafopredeter"/>
    <w:link w:val="Encabezado"/>
    <w:uiPriority w:val="99"/>
    <w:semiHidden/>
    <w:rsid w:val="0016324A"/>
  </w:style>
  <w:style w:type="paragraph" w:styleId="Piedepgina">
    <w:name w:val="footer"/>
    <w:basedOn w:val="Normal"/>
    <w:link w:val="PiedepginaCar"/>
    <w:uiPriority w:val="99"/>
    <w:semiHidden/>
    <w:unhideWhenUsed/>
    <w:rsid w:val="0016324A"/>
    <w:pPr>
      <w:tabs>
        <w:tab w:val="center" w:pos="4252"/>
        <w:tab w:val="right" w:pos="8504"/>
      </w:tabs>
    </w:pPr>
  </w:style>
  <w:style w:type="character" w:customStyle="1" w:styleId="PiedepginaCar">
    <w:name w:val="Pie de página Car"/>
    <w:basedOn w:val="Fuentedeprrafopredeter"/>
    <w:link w:val="Piedepgina"/>
    <w:uiPriority w:val="99"/>
    <w:semiHidden/>
    <w:rsid w:val="0016324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2157</Words>
  <Characters>11869</Characters>
  <Application>Microsoft Office Word</Application>
  <DocSecurity>0</DocSecurity>
  <Lines>98</Lines>
  <Paragraphs>27</Paragraphs>
  <ScaleCrop>false</ScaleCrop>
  <Company/>
  <LinksUpToDate>false</LinksUpToDate>
  <CharactersWithSpaces>13999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Lautaro Pittier</dc:creator>
  <cp:lastModifiedBy>lpittier</cp:lastModifiedBy>
  <cp:revision>3</cp:revision>
  <dcterms:created xsi:type="dcterms:W3CDTF">2026-03-31T10:23:00Z</dcterms:created>
  <dcterms:modified xsi:type="dcterms:W3CDTF">2026-03-31T10:26:00Z</dcterms:modified>
</cp:coreProperties>
</file>