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CA7" w:rsidRPr="002D4858" w:rsidRDefault="00551CA7" w:rsidP="00CE3F13">
      <w:pPr>
        <w:spacing w:before="100" w:beforeAutospacing="1" w:after="100" w:afterAutospacing="1" w:line="240" w:lineRule="auto"/>
        <w:jc w:val="both"/>
        <w:rPr>
          <w:rFonts w:ascii="Arial" w:eastAsia="Times New Roman" w:hAnsi="Arial" w:cs="Arial"/>
          <w:b/>
          <w:bCs/>
          <w:sz w:val="20"/>
          <w:szCs w:val="20"/>
          <w:lang w:eastAsia="es-ES"/>
        </w:rPr>
      </w:pPr>
      <w:bookmarkStart w:id="0" w:name="_GoBack"/>
      <w:bookmarkEnd w:id="0"/>
      <w:r w:rsidRPr="002D4858">
        <w:rPr>
          <w:rFonts w:ascii="Arial" w:eastAsia="Times New Roman" w:hAnsi="Arial" w:cs="Arial"/>
          <w:b/>
          <w:bCs/>
          <w:sz w:val="20"/>
          <w:szCs w:val="20"/>
          <w:lang w:eastAsia="es-ES"/>
        </w:rPr>
        <w:t xml:space="preserve">Exclusión de cobertura por parentesco en el marco de un accidente de </w:t>
      </w:r>
      <w:r w:rsidR="004A2344" w:rsidRPr="002D4858">
        <w:rPr>
          <w:rFonts w:ascii="Arial" w:eastAsia="Times New Roman" w:hAnsi="Arial" w:cs="Arial"/>
          <w:b/>
          <w:bCs/>
          <w:sz w:val="20"/>
          <w:szCs w:val="20"/>
          <w:lang w:eastAsia="es-ES"/>
        </w:rPr>
        <w:t>tránsito</w:t>
      </w:r>
      <w:r w:rsidR="000029A1" w:rsidRPr="002D4858">
        <w:rPr>
          <w:rFonts w:ascii="Arial" w:eastAsia="Times New Roman" w:hAnsi="Arial" w:cs="Arial"/>
          <w:b/>
          <w:bCs/>
          <w:sz w:val="20"/>
          <w:szCs w:val="20"/>
          <w:lang w:eastAsia="es-ES"/>
        </w:rPr>
        <w:t xml:space="preserve"> </w:t>
      </w:r>
    </w:p>
    <w:p w:rsidR="0089346F" w:rsidRPr="002D4858" w:rsidRDefault="0089346F" w:rsidP="00CE3F13">
      <w:pPr>
        <w:spacing w:before="100" w:beforeAutospacing="1" w:after="100" w:afterAutospacing="1" w:line="240" w:lineRule="auto"/>
        <w:jc w:val="both"/>
        <w:rPr>
          <w:rFonts w:ascii="Arial" w:hAnsi="Arial" w:cs="Arial"/>
          <w:sz w:val="20"/>
          <w:szCs w:val="20"/>
        </w:rPr>
      </w:pPr>
      <w:r w:rsidRPr="002D4858">
        <w:rPr>
          <w:rFonts w:ascii="Arial" w:hAnsi="Arial" w:cs="Arial"/>
          <w:sz w:val="20"/>
          <w:szCs w:val="20"/>
        </w:rPr>
        <w:t xml:space="preserve">Las pólizas de automotores vigentes, debidamente aprobadas por la Superintendencia de Seguros de la Nación (SSN), contemplan estipulaciones que sustraen del amparo </w:t>
      </w:r>
      <w:proofErr w:type="spellStart"/>
      <w:r w:rsidRPr="002D4858">
        <w:rPr>
          <w:rFonts w:ascii="Arial" w:hAnsi="Arial" w:cs="Arial"/>
          <w:sz w:val="20"/>
          <w:szCs w:val="20"/>
        </w:rPr>
        <w:t>asegurativo</w:t>
      </w:r>
      <w:proofErr w:type="spellEnd"/>
      <w:r w:rsidRPr="002D4858">
        <w:rPr>
          <w:rFonts w:ascii="Arial" w:hAnsi="Arial" w:cs="Arial"/>
          <w:sz w:val="20"/>
          <w:szCs w:val="20"/>
        </w:rPr>
        <w:t xml:space="preserve"> los perjuicios económicos ocasionados a los parientes del asegurado o conductor hasta el tercer grado de consanguinidad o afinidad, así como al cónyuge y al concubino.</w:t>
      </w:r>
    </w:p>
    <w:p w:rsidR="0089346F" w:rsidRPr="002D4858" w:rsidRDefault="0089346F" w:rsidP="00CE3F13">
      <w:pPr>
        <w:spacing w:before="100" w:beforeAutospacing="1" w:after="100" w:afterAutospacing="1" w:line="240" w:lineRule="auto"/>
        <w:jc w:val="both"/>
        <w:rPr>
          <w:rFonts w:ascii="Arial" w:hAnsi="Arial" w:cs="Arial"/>
          <w:sz w:val="20"/>
          <w:szCs w:val="20"/>
        </w:rPr>
      </w:pPr>
      <w:r w:rsidRPr="002D4858">
        <w:rPr>
          <w:rFonts w:ascii="Arial" w:hAnsi="Arial" w:cs="Arial"/>
          <w:sz w:val="20"/>
          <w:szCs w:val="20"/>
        </w:rPr>
        <w:t>Las entidades aseguradoras rechazan el otorgamiento de la cobertura amparándose en estipulaciones contractuales que vedan el pago de indemnizaciones a los familiares del titular o del conductor.</w:t>
      </w:r>
    </w:p>
    <w:p w:rsidR="004A2344" w:rsidRPr="002D4858" w:rsidRDefault="0089346F" w:rsidP="00CE3F13">
      <w:pPr>
        <w:spacing w:before="100" w:beforeAutospacing="1" w:after="100" w:afterAutospacing="1" w:line="240" w:lineRule="auto"/>
        <w:jc w:val="both"/>
        <w:rPr>
          <w:rFonts w:ascii="Arial" w:hAnsi="Arial" w:cs="Arial"/>
          <w:sz w:val="20"/>
          <w:szCs w:val="20"/>
        </w:rPr>
      </w:pPr>
      <w:r w:rsidRPr="002D4858">
        <w:rPr>
          <w:rFonts w:ascii="Arial" w:hAnsi="Arial" w:cs="Arial"/>
          <w:sz w:val="20"/>
          <w:szCs w:val="20"/>
        </w:rPr>
        <w:t>Esta exclusión trae  en la práctica una  problemática que  radica en el choque entre la técnica aseguradora y la realidad de los siniestros viales: mientras las aseguradoras aplican la cláusula para evitar el fraude familiar y delimitar el riesgo, su uso automático en casos de lesiones graves o muertes deja a los parientes sin amparo, desnaturalizando la función social del seguro.</w:t>
      </w:r>
    </w:p>
    <w:p w:rsidR="002D4858" w:rsidRDefault="0089346F" w:rsidP="00CE3F13">
      <w:pPr>
        <w:spacing w:before="100" w:beforeAutospacing="1" w:after="100" w:afterAutospacing="1" w:line="240" w:lineRule="auto"/>
        <w:jc w:val="both"/>
        <w:rPr>
          <w:rFonts w:ascii="Arial" w:hAnsi="Arial" w:cs="Arial"/>
          <w:sz w:val="20"/>
          <w:szCs w:val="20"/>
        </w:rPr>
      </w:pPr>
      <w:r w:rsidRPr="002D4858">
        <w:rPr>
          <w:rFonts w:ascii="Arial" w:hAnsi="Arial" w:cs="Arial"/>
          <w:sz w:val="20"/>
          <w:szCs w:val="20"/>
        </w:rPr>
        <w:t>La cuestión en torno a la exclusión de cobertura por parentesco divide a la jurisprudencia,  en dos posturas  antagónicas: por un lado, una postura restrictiva que convalida la cláusula amparándose en la autonomía de la voluntad, la técnica aseguradora y la legítima delimitación del riesgo para prevenir el fraude; y, por el otro, una tesitura aperturista y tuitiva que la declara nula por considerarla una cláusula abusiva que vulnera el orden público del consumidor, desnaturaliza el seguro obligatorio de responsabilidad civil y avasalla el principio constitucional de reparación integral de las víctimas</w:t>
      </w:r>
    </w:p>
    <w:p w:rsidR="006D0A1D" w:rsidRPr="002D4858" w:rsidRDefault="006D0A1D" w:rsidP="00CE3F13">
      <w:pPr>
        <w:spacing w:before="100" w:beforeAutospacing="1" w:after="100" w:afterAutospacing="1" w:line="240" w:lineRule="auto"/>
        <w:jc w:val="both"/>
        <w:rPr>
          <w:rFonts w:ascii="Arial" w:hAnsi="Arial" w:cs="Arial"/>
          <w:sz w:val="20"/>
          <w:szCs w:val="20"/>
        </w:rPr>
      </w:pPr>
      <w:r w:rsidRPr="002D4858">
        <w:rPr>
          <w:rFonts w:ascii="Arial" w:eastAsia="Times New Roman" w:hAnsi="Arial" w:cs="Arial"/>
          <w:b/>
          <w:sz w:val="20"/>
          <w:szCs w:val="20"/>
          <w:lang w:eastAsia="es-ES"/>
        </w:rPr>
        <w:t xml:space="preserve"> </w:t>
      </w:r>
      <w:r w:rsidRPr="002D4858">
        <w:rPr>
          <w:rFonts w:ascii="Arial" w:hAnsi="Arial" w:cs="Arial"/>
          <w:b/>
          <w:sz w:val="20"/>
          <w:szCs w:val="20"/>
        </w:rPr>
        <w:t>Criterio tuitivo: la inoponibilidad de la exclusión por parentesco</w:t>
      </w:r>
    </w:p>
    <w:p w:rsidR="00551CA7" w:rsidRPr="002D4858" w:rsidRDefault="004A2344"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sz w:val="20"/>
          <w:szCs w:val="20"/>
          <w:lang w:eastAsia="es-ES"/>
        </w:rPr>
        <w:t>Encuadre normativo</w:t>
      </w:r>
      <w:r w:rsidRPr="002D4858">
        <w:rPr>
          <w:rFonts w:ascii="Arial" w:eastAsia="Times New Roman" w:hAnsi="Arial" w:cs="Arial"/>
          <w:sz w:val="20"/>
          <w:szCs w:val="20"/>
          <w:lang w:eastAsia="es-ES"/>
        </w:rPr>
        <w:t xml:space="preserve">: </w:t>
      </w:r>
      <w:r w:rsidR="00551CA7" w:rsidRPr="002D4858">
        <w:rPr>
          <w:rFonts w:ascii="Arial" w:eastAsia="Times New Roman" w:hAnsi="Arial" w:cs="Arial"/>
          <w:bCs/>
          <w:sz w:val="20"/>
          <w:szCs w:val="20"/>
          <w:lang w:eastAsia="es-ES"/>
        </w:rPr>
        <w:t>Para la gran parte de la doctrina y jurisprudencia el</w:t>
      </w:r>
      <w:r w:rsidR="00551CA7" w:rsidRPr="002D4858">
        <w:rPr>
          <w:rFonts w:ascii="Arial" w:eastAsia="Times New Roman" w:hAnsi="Arial" w:cs="Arial"/>
          <w:sz w:val="20"/>
          <w:szCs w:val="20"/>
          <w:lang w:eastAsia="es-ES"/>
        </w:rPr>
        <w:t xml:space="preserve"> contrato de seguro se encuentra indefectiblemente alcanzado por el estatuto del consumidor (Art. 42 de la Constitución Nacional y Ley 24.240), el cual se articula y armoniza con la Ley de Seguros (N° 17.418) y la Ley de Tránsito (N° 24.449).</w:t>
      </w:r>
    </w:p>
    <w:p w:rsidR="00551CA7" w:rsidRPr="002D4858" w:rsidRDefault="00551CA7"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sz w:val="20"/>
          <w:szCs w:val="20"/>
          <w:lang w:eastAsia="es-ES"/>
        </w:rPr>
        <w:t>Si bien el propósito tradicional de estas cláusulas es evitar fraudes o connivencias familiares (</w:t>
      </w:r>
      <w:r w:rsidRPr="002D4858">
        <w:rPr>
          <w:rFonts w:ascii="Arial" w:eastAsia="Times New Roman" w:hAnsi="Arial" w:cs="Arial"/>
          <w:i/>
          <w:iCs/>
          <w:sz w:val="20"/>
          <w:szCs w:val="20"/>
          <w:lang w:eastAsia="es-ES"/>
        </w:rPr>
        <w:t>riesgo moral</w:t>
      </w:r>
      <w:r w:rsidRPr="002D4858">
        <w:rPr>
          <w:rFonts w:ascii="Arial" w:eastAsia="Times New Roman" w:hAnsi="Arial" w:cs="Arial"/>
          <w:sz w:val="20"/>
          <w:szCs w:val="20"/>
          <w:lang w:eastAsia="es-ES"/>
        </w:rPr>
        <w:t xml:space="preserve">), aplicarlas de manera inflexible ante daños gravísimos o muertes de seres queridos resulta irrazonable y carente de mínimo sentido humano, nadie va a planear la muerte de un ser querido para percibir un seguro, </w:t>
      </w:r>
      <w:r w:rsidR="004A2344" w:rsidRPr="002D4858">
        <w:rPr>
          <w:rFonts w:ascii="Arial" w:eastAsia="Times New Roman" w:hAnsi="Arial" w:cs="Arial"/>
          <w:sz w:val="20"/>
          <w:szCs w:val="20"/>
          <w:lang w:eastAsia="es-ES"/>
        </w:rPr>
        <w:t>máxime</w:t>
      </w:r>
      <w:r w:rsidRPr="002D4858">
        <w:rPr>
          <w:rFonts w:ascii="Arial" w:eastAsia="Times New Roman" w:hAnsi="Arial" w:cs="Arial"/>
          <w:sz w:val="20"/>
          <w:szCs w:val="20"/>
          <w:lang w:eastAsia="es-ES"/>
        </w:rPr>
        <w:t xml:space="preserve"> cuando ocurre un accidente vial que es inesperado. </w:t>
      </w:r>
    </w:p>
    <w:p w:rsidR="00551CA7" w:rsidRPr="002D4858" w:rsidRDefault="00551CA7"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sz w:val="20"/>
          <w:szCs w:val="20"/>
          <w:lang w:eastAsia="es-ES"/>
        </w:rPr>
        <w:t xml:space="preserve">Pretender aplicar dicha exclusión de cobertura en un accidente vial grave desnaturaliza la finalidad tuitiva del </w:t>
      </w:r>
      <w:r w:rsidRPr="002D4858">
        <w:rPr>
          <w:rFonts w:ascii="Arial" w:eastAsia="Times New Roman" w:hAnsi="Arial" w:cs="Arial"/>
          <w:bCs/>
          <w:sz w:val="20"/>
          <w:szCs w:val="20"/>
          <w:lang w:eastAsia="es-ES"/>
        </w:rPr>
        <w:t>seguro obligatorio de responsabilidad civil</w:t>
      </w:r>
      <w:r w:rsidRPr="002D4858">
        <w:rPr>
          <w:rFonts w:ascii="Arial" w:eastAsia="Times New Roman" w:hAnsi="Arial" w:cs="Arial"/>
          <w:sz w:val="20"/>
          <w:szCs w:val="20"/>
          <w:lang w:eastAsia="es-ES"/>
        </w:rPr>
        <w:t xml:space="preserve"> (Art. 68, Ley 24.449) violando  el principio de </w:t>
      </w:r>
      <w:r w:rsidRPr="002D4858">
        <w:rPr>
          <w:rFonts w:ascii="Arial" w:eastAsia="Times New Roman" w:hAnsi="Arial" w:cs="Arial"/>
          <w:bCs/>
          <w:sz w:val="20"/>
          <w:szCs w:val="20"/>
          <w:lang w:eastAsia="es-ES"/>
        </w:rPr>
        <w:t>reparación integral</w:t>
      </w:r>
      <w:r w:rsidRPr="002D4858">
        <w:rPr>
          <w:rFonts w:ascii="Arial" w:eastAsia="Times New Roman" w:hAnsi="Arial" w:cs="Arial"/>
          <w:sz w:val="20"/>
          <w:szCs w:val="20"/>
          <w:lang w:eastAsia="es-ES"/>
        </w:rPr>
        <w:t xml:space="preserve"> de los daños  y configura una cláusula abusiva que desnaturaliza la cobertura básica, conculcando el Art. 37 de la </w:t>
      </w:r>
      <w:r w:rsidRPr="002D4858">
        <w:rPr>
          <w:rFonts w:ascii="Arial" w:eastAsia="Times New Roman" w:hAnsi="Arial" w:cs="Arial"/>
          <w:bCs/>
          <w:sz w:val="20"/>
          <w:szCs w:val="20"/>
          <w:lang w:eastAsia="es-ES"/>
        </w:rPr>
        <w:t>Ley de Defensa del Consumidor</w:t>
      </w:r>
      <w:r w:rsidRPr="002D4858">
        <w:rPr>
          <w:rFonts w:ascii="Arial" w:eastAsia="Times New Roman" w:hAnsi="Arial" w:cs="Arial"/>
          <w:sz w:val="20"/>
          <w:szCs w:val="20"/>
          <w:lang w:eastAsia="es-ES"/>
        </w:rPr>
        <w:t>.</w:t>
      </w:r>
    </w:p>
    <w:p w:rsidR="00551CA7" w:rsidRPr="002D4858" w:rsidRDefault="00551CA7" w:rsidP="00CE3F13">
      <w:pPr>
        <w:pStyle w:val="NormalWeb"/>
        <w:jc w:val="both"/>
        <w:rPr>
          <w:rFonts w:ascii="Arial" w:hAnsi="Arial" w:cs="Arial"/>
          <w:sz w:val="20"/>
          <w:szCs w:val="20"/>
        </w:rPr>
      </w:pPr>
      <w:r w:rsidRPr="002D4858">
        <w:rPr>
          <w:rFonts w:ascii="Arial" w:hAnsi="Arial" w:cs="Arial"/>
          <w:bCs/>
          <w:sz w:val="20"/>
          <w:szCs w:val="20"/>
        </w:rPr>
        <w:t>La exclusión de cobertura tiene un  origen histórico  que tr</w:t>
      </w:r>
      <w:r w:rsidRPr="002D4858">
        <w:rPr>
          <w:rFonts w:ascii="Arial" w:hAnsi="Arial" w:cs="Arial"/>
          <w:sz w:val="20"/>
          <w:szCs w:val="20"/>
        </w:rPr>
        <w:t xml:space="preserve">adicionalmente, las aseguradoras incluían esta limitación para evitar el llamado </w:t>
      </w:r>
      <w:r w:rsidRPr="002D4858">
        <w:rPr>
          <w:rFonts w:ascii="Arial" w:hAnsi="Arial" w:cs="Arial"/>
          <w:i/>
          <w:iCs/>
          <w:sz w:val="20"/>
          <w:szCs w:val="20"/>
        </w:rPr>
        <w:t xml:space="preserve">moral </w:t>
      </w:r>
      <w:proofErr w:type="spellStart"/>
      <w:r w:rsidRPr="002D4858">
        <w:rPr>
          <w:rFonts w:ascii="Arial" w:hAnsi="Arial" w:cs="Arial"/>
          <w:i/>
          <w:iCs/>
          <w:sz w:val="20"/>
          <w:szCs w:val="20"/>
        </w:rPr>
        <w:t>hazard</w:t>
      </w:r>
      <w:proofErr w:type="spellEnd"/>
      <w:r w:rsidRPr="002D4858">
        <w:rPr>
          <w:rFonts w:ascii="Arial" w:hAnsi="Arial" w:cs="Arial"/>
          <w:sz w:val="20"/>
          <w:szCs w:val="20"/>
        </w:rPr>
        <w:t xml:space="preserve"> (riesgo moral). La idea era prevenir fraudes o confabulaciones entre familiares (por ejemplo, simular un choque o inventar un juicio para que la aseguradora pague una indemnización que, en realidad, queda dentro del mismo círculo familiar).</w:t>
      </w:r>
    </w:p>
    <w:p w:rsidR="00551CA7" w:rsidRPr="002D4858" w:rsidRDefault="00551CA7" w:rsidP="00CE3F13">
      <w:pPr>
        <w:pStyle w:val="NormalWeb"/>
        <w:jc w:val="both"/>
        <w:rPr>
          <w:rFonts w:ascii="Arial" w:hAnsi="Arial" w:cs="Arial"/>
          <w:sz w:val="20"/>
          <w:szCs w:val="20"/>
        </w:rPr>
      </w:pPr>
      <w:r w:rsidRPr="002D4858">
        <w:rPr>
          <w:rFonts w:ascii="Arial" w:hAnsi="Arial" w:cs="Arial"/>
          <w:sz w:val="20"/>
          <w:szCs w:val="20"/>
        </w:rPr>
        <w:t xml:space="preserve">La jurisprudencia y doctrina mayoritaria sostienen  que aplicar esta cláusula de forma automática cuando el siniestro involucra </w:t>
      </w:r>
      <w:r w:rsidRPr="002D4858">
        <w:rPr>
          <w:rFonts w:ascii="Arial" w:hAnsi="Arial" w:cs="Arial"/>
          <w:bCs/>
          <w:sz w:val="20"/>
          <w:szCs w:val="20"/>
        </w:rPr>
        <w:t>la muerte o lesiones graves de un ser querido</w:t>
      </w:r>
      <w:r w:rsidRPr="002D4858">
        <w:rPr>
          <w:rFonts w:ascii="Arial" w:hAnsi="Arial" w:cs="Arial"/>
          <w:sz w:val="20"/>
          <w:szCs w:val="20"/>
        </w:rPr>
        <w:t xml:space="preserve"> (un hijo, un sobrino, un hermano) desnaturaliza por completo su fundamento ético. </w:t>
      </w:r>
      <w:r w:rsidRPr="002D4858">
        <w:rPr>
          <w:rStyle w:val="citation-23"/>
          <w:rFonts w:ascii="Arial" w:hAnsi="Arial" w:cs="Arial"/>
          <w:sz w:val="20"/>
          <w:szCs w:val="20"/>
        </w:rPr>
        <w:t xml:space="preserve">Cometer un delito o fraude contra una aseguradora a costa de la vida o la integridad de un familiar cercano no es una maniobra de fraude ordinaria, sino un hecho aberrante y económicamente absurdo, es casi un delito inverosímil  planear un accidente automovilístico que le cueste la vida a un pariente.  </w:t>
      </w:r>
      <w:r w:rsidRPr="002D4858">
        <w:rPr>
          <w:rFonts w:ascii="Arial" w:hAnsi="Arial" w:cs="Arial"/>
          <w:sz w:val="20"/>
          <w:szCs w:val="20"/>
        </w:rPr>
        <w:t xml:space="preserve"> Por lo tanto, usar esa excusa para no pagar en casos trágicos convierte a la cláusula en  abusiva </w:t>
      </w:r>
      <w:r w:rsidR="004D7B4E" w:rsidRPr="002D4858">
        <w:rPr>
          <w:rFonts w:ascii="Arial" w:hAnsi="Arial" w:cs="Arial"/>
          <w:sz w:val="20"/>
          <w:szCs w:val="20"/>
        </w:rPr>
        <w:t xml:space="preserve"> y carente de lógica y </w:t>
      </w:r>
      <w:r w:rsidR="004A2344" w:rsidRPr="002D4858">
        <w:rPr>
          <w:rFonts w:ascii="Arial" w:hAnsi="Arial" w:cs="Arial"/>
          <w:sz w:val="20"/>
          <w:szCs w:val="20"/>
        </w:rPr>
        <w:t>sustento</w:t>
      </w:r>
      <w:r w:rsidRPr="002D4858">
        <w:rPr>
          <w:rFonts w:ascii="Arial" w:hAnsi="Arial" w:cs="Arial"/>
          <w:sz w:val="20"/>
          <w:szCs w:val="20"/>
        </w:rPr>
        <w:t xml:space="preserve">. </w:t>
      </w:r>
    </w:p>
    <w:p w:rsidR="00551CA7" w:rsidRPr="002D4858" w:rsidRDefault="004A2344" w:rsidP="00CE3F13">
      <w:pPr>
        <w:pStyle w:val="Ttulo3"/>
        <w:jc w:val="both"/>
        <w:rPr>
          <w:rFonts w:ascii="Arial" w:hAnsi="Arial" w:cs="Arial"/>
          <w:b w:val="0"/>
          <w:sz w:val="20"/>
          <w:szCs w:val="20"/>
        </w:rPr>
      </w:pPr>
      <w:r w:rsidRPr="002D4858">
        <w:rPr>
          <w:rFonts w:ascii="Arial" w:hAnsi="Arial" w:cs="Arial"/>
          <w:sz w:val="20"/>
          <w:szCs w:val="20"/>
        </w:rPr>
        <w:lastRenderedPageBreak/>
        <w:t xml:space="preserve">Jurisprudencia:  </w:t>
      </w:r>
      <w:r w:rsidR="00551CA7" w:rsidRPr="002D4858">
        <w:rPr>
          <w:rFonts w:ascii="Arial" w:hAnsi="Arial" w:cs="Arial"/>
          <w:b w:val="0"/>
          <w:sz w:val="20"/>
          <w:szCs w:val="20"/>
        </w:rPr>
        <w:t xml:space="preserve"> </w:t>
      </w:r>
      <w:r w:rsidRPr="002D4858">
        <w:rPr>
          <w:rFonts w:ascii="Arial" w:hAnsi="Arial" w:cs="Arial"/>
          <w:b w:val="0"/>
          <w:sz w:val="20"/>
          <w:szCs w:val="20"/>
        </w:rPr>
        <w:t>F</w:t>
      </w:r>
      <w:r w:rsidR="00551CA7" w:rsidRPr="002D4858">
        <w:rPr>
          <w:rFonts w:ascii="Arial" w:hAnsi="Arial" w:cs="Arial"/>
          <w:b w:val="0"/>
          <w:sz w:val="20"/>
          <w:szCs w:val="20"/>
        </w:rPr>
        <w:t>allo de la Sala L de la Cámara Nacional Civil (5/12/2012)</w:t>
      </w:r>
    </w:p>
    <w:p w:rsidR="00551CA7" w:rsidRPr="002D4858" w:rsidRDefault="00551CA7" w:rsidP="00CE3F13">
      <w:pPr>
        <w:pStyle w:val="NormalWeb"/>
        <w:jc w:val="both"/>
        <w:rPr>
          <w:rFonts w:ascii="Arial" w:hAnsi="Arial" w:cs="Arial"/>
          <w:sz w:val="20"/>
          <w:szCs w:val="20"/>
        </w:rPr>
      </w:pPr>
      <w:r w:rsidRPr="002D4858">
        <w:rPr>
          <w:rStyle w:val="citation-22"/>
          <w:rFonts w:ascii="Arial" w:hAnsi="Arial" w:cs="Arial"/>
          <w:sz w:val="20"/>
          <w:szCs w:val="20"/>
        </w:rPr>
        <w:t>El fallo citado en el texto (</w:t>
      </w:r>
      <w:r w:rsidRPr="002D4858">
        <w:rPr>
          <w:rStyle w:val="citation-22"/>
          <w:rFonts w:ascii="Arial" w:hAnsi="Arial" w:cs="Arial"/>
          <w:i/>
          <w:iCs/>
          <w:sz w:val="20"/>
          <w:szCs w:val="20"/>
        </w:rPr>
        <w:t>"A., A. c/ J.A. s/ Daños y Perjuicios"</w:t>
      </w:r>
      <w:r w:rsidRPr="002D4858">
        <w:rPr>
          <w:rStyle w:val="citation-22"/>
          <w:rFonts w:ascii="Arial" w:hAnsi="Arial" w:cs="Arial"/>
          <w:sz w:val="20"/>
          <w:szCs w:val="20"/>
        </w:rPr>
        <w:t>) marca una postura aperturista en defensa de las víctimas de accidentes viales al vincular tres normativas clave:</w:t>
      </w:r>
      <w:r w:rsidRPr="002D4858">
        <w:rPr>
          <w:rFonts w:ascii="Arial" w:hAnsi="Arial" w:cs="Arial"/>
          <w:sz w:val="20"/>
          <w:szCs w:val="20"/>
        </w:rPr>
        <w:t xml:space="preserve"> </w:t>
      </w:r>
    </w:p>
    <w:p w:rsidR="00551CA7" w:rsidRPr="002D4858" w:rsidRDefault="00551CA7" w:rsidP="00CE3F13">
      <w:pPr>
        <w:pStyle w:val="NormalWeb"/>
        <w:jc w:val="both"/>
        <w:rPr>
          <w:rFonts w:ascii="Arial" w:hAnsi="Arial" w:cs="Arial"/>
          <w:sz w:val="20"/>
          <w:szCs w:val="20"/>
        </w:rPr>
      </w:pPr>
      <w:r w:rsidRPr="002D4858">
        <w:rPr>
          <w:rFonts w:ascii="Arial" w:hAnsi="Arial" w:cs="Arial"/>
          <w:bCs/>
          <w:sz w:val="20"/>
          <w:szCs w:val="20"/>
        </w:rPr>
        <w:t>El Seguro Obligatorio (Art. 68, Ley 24.449):</w:t>
      </w:r>
      <w:r w:rsidRPr="002D4858">
        <w:rPr>
          <w:rFonts w:ascii="Arial" w:hAnsi="Arial" w:cs="Arial"/>
          <w:sz w:val="20"/>
          <w:szCs w:val="20"/>
        </w:rPr>
        <w:t xml:space="preserve"> </w:t>
      </w:r>
      <w:r w:rsidRPr="002D4858">
        <w:rPr>
          <w:rStyle w:val="citation-21"/>
          <w:rFonts w:ascii="Arial" w:hAnsi="Arial" w:cs="Arial"/>
          <w:sz w:val="20"/>
          <w:szCs w:val="20"/>
        </w:rPr>
        <w:t xml:space="preserve">La Ley de Tránsito exige un seguro precisamente para garantizar que </w:t>
      </w:r>
      <w:r w:rsidRPr="002D4858">
        <w:rPr>
          <w:rStyle w:val="citation-21"/>
          <w:rFonts w:ascii="Arial" w:hAnsi="Arial" w:cs="Arial"/>
          <w:i/>
          <w:iCs/>
          <w:sz w:val="20"/>
          <w:szCs w:val="20"/>
        </w:rPr>
        <w:t>toda</w:t>
      </w:r>
      <w:r w:rsidRPr="002D4858">
        <w:rPr>
          <w:rStyle w:val="citation-21"/>
          <w:rFonts w:ascii="Arial" w:hAnsi="Arial" w:cs="Arial"/>
          <w:sz w:val="20"/>
          <w:szCs w:val="20"/>
        </w:rPr>
        <w:t xml:space="preserve"> persona transportada o afectada por un accidente tenga respaldo económico.</w:t>
      </w:r>
      <w:r w:rsidRPr="002D4858">
        <w:rPr>
          <w:rFonts w:ascii="Arial" w:hAnsi="Arial" w:cs="Arial"/>
          <w:sz w:val="20"/>
          <w:szCs w:val="20"/>
        </w:rPr>
        <w:t xml:space="preserve"> </w:t>
      </w:r>
      <w:r w:rsidRPr="002D4858">
        <w:rPr>
          <w:rStyle w:val="citation-20"/>
          <w:rFonts w:ascii="Arial" w:hAnsi="Arial" w:cs="Arial"/>
          <w:sz w:val="20"/>
          <w:szCs w:val="20"/>
        </w:rPr>
        <w:t>Si una cláusula contractual de la aseguradora deja sin cobertura a las víctimas por el solo hecho de ser parientes del conductor, se vacía de contenido la ley nacional de tránsito, cuyo objetivo principal es proteger a las víctimas.</w:t>
      </w:r>
      <w:r w:rsidRPr="002D4858">
        <w:rPr>
          <w:rFonts w:ascii="Arial" w:hAnsi="Arial" w:cs="Arial"/>
          <w:sz w:val="20"/>
          <w:szCs w:val="20"/>
        </w:rPr>
        <w:t xml:space="preserve"> </w:t>
      </w:r>
    </w:p>
    <w:p w:rsidR="00551CA7" w:rsidRPr="002D4858" w:rsidRDefault="00551CA7" w:rsidP="00CE3F13">
      <w:pPr>
        <w:pStyle w:val="NormalWeb"/>
        <w:jc w:val="both"/>
        <w:rPr>
          <w:rFonts w:ascii="Arial" w:hAnsi="Arial" w:cs="Arial"/>
          <w:sz w:val="20"/>
          <w:szCs w:val="20"/>
        </w:rPr>
      </w:pPr>
      <w:r w:rsidRPr="002D4858">
        <w:rPr>
          <w:rFonts w:ascii="Arial" w:hAnsi="Arial" w:cs="Arial"/>
          <w:bCs/>
          <w:sz w:val="20"/>
          <w:szCs w:val="20"/>
        </w:rPr>
        <w:t>La Ley de Defensa del Consumidor (Art. 37):</w:t>
      </w:r>
      <w:r w:rsidRPr="002D4858">
        <w:rPr>
          <w:rFonts w:ascii="Arial" w:hAnsi="Arial" w:cs="Arial"/>
          <w:sz w:val="20"/>
          <w:szCs w:val="20"/>
        </w:rPr>
        <w:t xml:space="preserve"> El artículo 37 de la Ley 24.240 prohíbe las llamadas "cláusulas abusivas". El fallo sostiene que una exclusión que deja desamparada a una familia ante una tragedia desnaturaliza la obligación principal del contrato de seguro de responsabilidad civil. Al ser una cláusula predispuesta e impuesta por la empresa, debe tenerse por no escrita si vulnera el orden público de protección al consumidor.</w:t>
      </w:r>
    </w:p>
    <w:p w:rsidR="00780086" w:rsidRPr="002D4858" w:rsidRDefault="004A2344" w:rsidP="00CE3F13">
      <w:pPr>
        <w:jc w:val="both"/>
        <w:rPr>
          <w:rFonts w:ascii="Arial" w:hAnsi="Arial" w:cs="Arial"/>
          <w:color w:val="2E2E2E"/>
          <w:sz w:val="20"/>
          <w:szCs w:val="20"/>
        </w:rPr>
      </w:pPr>
      <w:r w:rsidRPr="002D4858">
        <w:rPr>
          <w:rFonts w:ascii="Arial" w:hAnsi="Arial" w:cs="Arial"/>
          <w:b/>
          <w:sz w:val="20"/>
          <w:szCs w:val="20"/>
        </w:rPr>
        <w:t xml:space="preserve">Otro fallo; </w:t>
      </w:r>
      <w:r w:rsidR="00780086" w:rsidRPr="002D4858">
        <w:rPr>
          <w:rFonts w:ascii="Arial" w:hAnsi="Arial" w:cs="Arial"/>
          <w:sz w:val="20"/>
          <w:szCs w:val="20"/>
        </w:rPr>
        <w:t>L</w:t>
      </w:r>
      <w:r w:rsidR="004D7B4E" w:rsidRPr="002D4858">
        <w:rPr>
          <w:rFonts w:ascii="Arial" w:hAnsi="Arial" w:cs="Arial"/>
          <w:sz w:val="20"/>
          <w:szCs w:val="20"/>
        </w:rPr>
        <w:t xml:space="preserve">a </w:t>
      </w:r>
      <w:r w:rsidR="004D7B4E" w:rsidRPr="002D4858">
        <w:rPr>
          <w:rFonts w:ascii="Arial" w:eastAsia="Times New Roman" w:hAnsi="Arial" w:cs="Arial"/>
          <w:color w:val="2E2E2E"/>
          <w:sz w:val="20"/>
          <w:szCs w:val="20"/>
          <w:lang w:eastAsia="es-ES"/>
        </w:rPr>
        <w:t>Cámara de Apelaciones Nacional Comercial Sala F</w:t>
      </w:r>
      <w:r w:rsidR="00780086" w:rsidRPr="002D4858">
        <w:rPr>
          <w:rFonts w:ascii="Arial" w:eastAsia="Times New Roman" w:hAnsi="Arial" w:cs="Arial"/>
          <w:color w:val="2E2E2E"/>
          <w:sz w:val="20"/>
          <w:szCs w:val="20"/>
          <w:lang w:eastAsia="es-ES"/>
        </w:rPr>
        <w:t xml:space="preserve"> en los autos </w:t>
      </w:r>
      <w:r w:rsidR="004D7B4E" w:rsidRPr="002D4858">
        <w:rPr>
          <w:rFonts w:ascii="Arial" w:hAnsi="Arial" w:cs="Arial"/>
          <w:sz w:val="20"/>
          <w:szCs w:val="20"/>
        </w:rPr>
        <w:t xml:space="preserve">  CORREA, SILVANA MABEL Y OTROS c/ MERIDIONAL COMPAÑIA ARGENTINA DE SEGUROS S.A. s/ORDINARIO</w:t>
      </w:r>
      <w:r w:rsidR="00780086" w:rsidRPr="002D4858">
        <w:rPr>
          <w:rFonts w:ascii="Arial" w:hAnsi="Arial" w:cs="Arial"/>
          <w:sz w:val="20"/>
          <w:szCs w:val="20"/>
        </w:rPr>
        <w:t>” hace lugar a</w:t>
      </w:r>
      <w:r w:rsidR="004D7B4E" w:rsidRPr="002D4858">
        <w:rPr>
          <w:rFonts w:ascii="Arial" w:hAnsi="Arial" w:cs="Arial"/>
          <w:color w:val="2E2E2E"/>
          <w:sz w:val="20"/>
          <w:szCs w:val="20"/>
        </w:rPr>
        <w:t xml:space="preserve"> nulidad de cláusula de exclusión de cobertura por parentesco</w:t>
      </w:r>
      <w:r w:rsidR="00780086" w:rsidRPr="002D4858">
        <w:rPr>
          <w:rFonts w:ascii="Arial" w:hAnsi="Arial" w:cs="Arial"/>
          <w:color w:val="2E2E2E"/>
          <w:sz w:val="20"/>
          <w:szCs w:val="20"/>
        </w:rPr>
        <w:t xml:space="preserve"> y d</w:t>
      </w:r>
      <w:r w:rsidR="004D7B4E" w:rsidRPr="002D4858">
        <w:rPr>
          <w:rFonts w:ascii="Arial" w:hAnsi="Arial" w:cs="Arial"/>
          <w:color w:val="2E2E2E"/>
          <w:sz w:val="20"/>
          <w:szCs w:val="20"/>
        </w:rPr>
        <w:t>eclaró nula la cláusula de exclusión por parentesco (CG-RC1.1)</w:t>
      </w:r>
      <w:r w:rsidR="00780086" w:rsidRPr="002D4858">
        <w:rPr>
          <w:rFonts w:ascii="Arial" w:hAnsi="Arial" w:cs="Arial"/>
          <w:color w:val="2E2E2E"/>
          <w:sz w:val="20"/>
          <w:szCs w:val="20"/>
        </w:rPr>
        <w:t xml:space="preserve">. </w:t>
      </w:r>
    </w:p>
    <w:p w:rsidR="00780086" w:rsidRPr="002D4858" w:rsidRDefault="004D7B4E" w:rsidP="00CE3F13">
      <w:pPr>
        <w:pStyle w:val="NormalWeb"/>
        <w:jc w:val="both"/>
        <w:rPr>
          <w:rFonts w:ascii="Arial" w:hAnsi="Arial" w:cs="Arial"/>
          <w:color w:val="2E2E2E"/>
          <w:sz w:val="20"/>
          <w:szCs w:val="20"/>
        </w:rPr>
      </w:pPr>
      <w:r w:rsidRPr="002D4858">
        <w:rPr>
          <w:rFonts w:ascii="Arial" w:hAnsi="Arial" w:cs="Arial"/>
          <w:color w:val="2E2E2E"/>
          <w:sz w:val="20"/>
          <w:szCs w:val="20"/>
        </w:rPr>
        <w:t xml:space="preserve"> </w:t>
      </w:r>
      <w:r w:rsidR="00780086" w:rsidRPr="002D4858">
        <w:rPr>
          <w:rFonts w:ascii="Arial" w:hAnsi="Arial" w:cs="Arial"/>
          <w:color w:val="2E2E2E"/>
          <w:sz w:val="20"/>
          <w:szCs w:val="20"/>
        </w:rPr>
        <w:t>A fin de dicha nulidad afirmo</w:t>
      </w:r>
      <w:r w:rsidR="004A2344" w:rsidRPr="002D4858">
        <w:rPr>
          <w:rFonts w:ascii="Arial" w:hAnsi="Arial" w:cs="Arial"/>
          <w:color w:val="2E2E2E"/>
          <w:sz w:val="20"/>
          <w:szCs w:val="20"/>
        </w:rPr>
        <w:t>: “</w:t>
      </w:r>
      <w:r w:rsidRPr="002D4858">
        <w:rPr>
          <w:rFonts w:ascii="Arial" w:hAnsi="Arial" w:cs="Arial"/>
          <w:color w:val="2E2E2E"/>
          <w:sz w:val="20"/>
          <w:szCs w:val="20"/>
        </w:rPr>
        <w:t>De allí que lo atinente a la restricción que se introduzca, no puede afectar la finalidad protectoria que inspira la norma. Y en el caso, como fue analizado por el anterior sentenciante, pone un límite a la cobertura de los daños que el seguro obligatorio debería garantizar... la exclusión de cobertura en los términos en los que fue requerido por la aseguradora y en tanto se dispone como una presunción que no admite prueba en contrario, impide la protección efectiva de dicho principio de indemnidad..." (</w:t>
      </w:r>
      <w:proofErr w:type="gramStart"/>
      <w:r w:rsidRPr="002D4858">
        <w:rPr>
          <w:rFonts w:ascii="Arial" w:hAnsi="Arial" w:cs="Arial"/>
          <w:color w:val="2E2E2E"/>
          <w:sz w:val="20"/>
          <w:szCs w:val="20"/>
        </w:rPr>
        <w:t>voto</w:t>
      </w:r>
      <w:proofErr w:type="gramEnd"/>
      <w:r w:rsidRPr="002D4858">
        <w:rPr>
          <w:rFonts w:ascii="Arial" w:hAnsi="Arial" w:cs="Arial"/>
          <w:color w:val="2E2E2E"/>
          <w:sz w:val="20"/>
          <w:szCs w:val="20"/>
        </w:rPr>
        <w:t xml:space="preserve"> Dr. </w:t>
      </w:r>
      <w:proofErr w:type="spellStart"/>
      <w:r w:rsidRPr="002D4858">
        <w:rPr>
          <w:rFonts w:ascii="Arial" w:hAnsi="Arial" w:cs="Arial"/>
          <w:color w:val="2E2E2E"/>
          <w:sz w:val="20"/>
          <w:szCs w:val="20"/>
        </w:rPr>
        <w:t>Lucchelli</w:t>
      </w:r>
      <w:proofErr w:type="spellEnd"/>
      <w:r w:rsidRPr="002D4858">
        <w:rPr>
          <w:rFonts w:ascii="Arial" w:hAnsi="Arial" w:cs="Arial"/>
          <w:color w:val="2E2E2E"/>
          <w:sz w:val="20"/>
          <w:szCs w:val="20"/>
        </w:rPr>
        <w:t>).</w:t>
      </w:r>
    </w:p>
    <w:p w:rsidR="00780086" w:rsidRPr="002D4858" w:rsidRDefault="00780086" w:rsidP="00CE3F13">
      <w:pPr>
        <w:pStyle w:val="NormalWeb"/>
        <w:jc w:val="both"/>
        <w:rPr>
          <w:rFonts w:ascii="Arial" w:hAnsi="Arial" w:cs="Arial"/>
          <w:iCs/>
          <w:sz w:val="20"/>
          <w:szCs w:val="20"/>
        </w:rPr>
      </w:pPr>
      <w:r w:rsidRPr="002D4858">
        <w:rPr>
          <w:rFonts w:ascii="Arial" w:hAnsi="Arial" w:cs="Arial"/>
          <w:color w:val="2E2E2E"/>
          <w:sz w:val="20"/>
          <w:szCs w:val="20"/>
        </w:rPr>
        <w:t xml:space="preserve">El fallo en cuestión afirma que en </w:t>
      </w:r>
      <w:r w:rsidRPr="002D4858">
        <w:rPr>
          <w:rFonts w:ascii="Arial" w:hAnsi="Arial" w:cs="Arial"/>
          <w:iCs/>
          <w:sz w:val="20"/>
          <w:szCs w:val="20"/>
        </w:rPr>
        <w:t xml:space="preserve"> lo atinente a la restricción  de la </w:t>
      </w:r>
      <w:r w:rsidR="004A2344" w:rsidRPr="002D4858">
        <w:rPr>
          <w:rFonts w:ascii="Arial" w:hAnsi="Arial" w:cs="Arial"/>
          <w:iCs/>
          <w:sz w:val="20"/>
          <w:szCs w:val="20"/>
        </w:rPr>
        <w:t>cláusula,</w:t>
      </w:r>
      <w:r w:rsidRPr="002D4858">
        <w:rPr>
          <w:rFonts w:ascii="Arial" w:hAnsi="Arial" w:cs="Arial"/>
          <w:iCs/>
          <w:sz w:val="20"/>
          <w:szCs w:val="20"/>
        </w:rPr>
        <w:t xml:space="preserve"> esta no puede afectar la finalidad protectoria que inspira la norma</w:t>
      </w:r>
    </w:p>
    <w:p w:rsidR="00780086" w:rsidRPr="002D4858" w:rsidRDefault="00780086" w:rsidP="00CE3F13">
      <w:pPr>
        <w:pStyle w:val="NormalWeb"/>
        <w:jc w:val="both"/>
        <w:rPr>
          <w:rFonts w:ascii="Arial" w:hAnsi="Arial" w:cs="Arial"/>
          <w:sz w:val="20"/>
          <w:szCs w:val="20"/>
        </w:rPr>
      </w:pPr>
      <w:r w:rsidRPr="002D4858">
        <w:rPr>
          <w:rFonts w:ascii="Arial" w:hAnsi="Arial" w:cs="Arial"/>
          <w:iCs/>
          <w:sz w:val="20"/>
          <w:szCs w:val="20"/>
        </w:rPr>
        <w:t>Sostiene que l</w:t>
      </w:r>
      <w:r w:rsidRPr="002D4858">
        <w:rPr>
          <w:rFonts w:ascii="Arial" w:hAnsi="Arial" w:cs="Arial"/>
          <w:sz w:val="20"/>
          <w:szCs w:val="20"/>
        </w:rPr>
        <w:t xml:space="preserve">as pólizas de seguros son contratos redactados unilateralmente por las empresas (contratos de adhesión). Si bien las partes pueden fijar condiciones, </w:t>
      </w:r>
      <w:r w:rsidRPr="002D4858">
        <w:rPr>
          <w:rFonts w:ascii="Arial" w:hAnsi="Arial" w:cs="Arial"/>
          <w:bCs/>
          <w:sz w:val="20"/>
          <w:szCs w:val="20"/>
        </w:rPr>
        <w:t>ninguna cláusula contractual puede vulnerar el espíritu ni el texto de una ley de orden público</w:t>
      </w:r>
      <w:r w:rsidRPr="002D4858">
        <w:rPr>
          <w:rFonts w:ascii="Arial" w:hAnsi="Arial" w:cs="Arial"/>
          <w:sz w:val="20"/>
          <w:szCs w:val="20"/>
        </w:rPr>
        <w:t>, y mucho menos de una norma de jerarquía constitucional.</w:t>
      </w:r>
    </w:p>
    <w:p w:rsidR="00780086" w:rsidRPr="002D4858" w:rsidRDefault="00780086" w:rsidP="00CE3F13">
      <w:pPr>
        <w:pStyle w:val="NormalWeb"/>
        <w:jc w:val="both"/>
        <w:rPr>
          <w:rFonts w:ascii="Arial" w:hAnsi="Arial" w:cs="Arial"/>
          <w:sz w:val="20"/>
          <w:szCs w:val="20"/>
        </w:rPr>
      </w:pPr>
      <w:r w:rsidRPr="002D4858">
        <w:rPr>
          <w:rFonts w:ascii="Arial" w:hAnsi="Arial" w:cs="Arial"/>
          <w:sz w:val="20"/>
          <w:szCs w:val="20"/>
        </w:rPr>
        <w:t xml:space="preserve"> La aseguradora  que busca aplicar una exclusión de cobertura (como el parentesco) para desligarse de pagar. El fallo sostiene que los límites convencionales  ceden ante el mandato superior de protección social.</w:t>
      </w:r>
    </w:p>
    <w:p w:rsidR="00780086" w:rsidRPr="002D4858" w:rsidRDefault="00780086" w:rsidP="00CE3F13">
      <w:pPr>
        <w:pStyle w:val="NormalWeb"/>
        <w:jc w:val="both"/>
        <w:rPr>
          <w:rFonts w:ascii="Arial" w:hAnsi="Arial" w:cs="Arial"/>
          <w:sz w:val="20"/>
          <w:szCs w:val="20"/>
        </w:rPr>
      </w:pPr>
      <w:r w:rsidRPr="002D4858">
        <w:rPr>
          <w:rFonts w:ascii="Arial" w:hAnsi="Arial" w:cs="Arial"/>
          <w:sz w:val="20"/>
          <w:szCs w:val="20"/>
        </w:rPr>
        <w:t xml:space="preserve">La Ley de Tránsito impone un seguro obligatorio de responsabilidad civil con un claro fin social: </w:t>
      </w:r>
      <w:r w:rsidRPr="002D4858">
        <w:rPr>
          <w:rFonts w:ascii="Arial" w:hAnsi="Arial" w:cs="Arial"/>
          <w:bCs/>
          <w:sz w:val="20"/>
          <w:szCs w:val="20"/>
        </w:rPr>
        <w:t>garantizar que siempre exista un respaldo patrimonial para indemnizar a las víctimas</w:t>
      </w:r>
      <w:r w:rsidRPr="002D4858">
        <w:rPr>
          <w:rFonts w:ascii="Arial" w:hAnsi="Arial" w:cs="Arial"/>
          <w:sz w:val="20"/>
          <w:szCs w:val="20"/>
        </w:rPr>
        <w:t xml:space="preserve"> de siniestros viales.</w:t>
      </w:r>
    </w:p>
    <w:p w:rsidR="00780086" w:rsidRPr="002D4858" w:rsidRDefault="00780086" w:rsidP="00CE3F13">
      <w:pPr>
        <w:pStyle w:val="NormalWeb"/>
        <w:jc w:val="both"/>
        <w:rPr>
          <w:rFonts w:ascii="Arial" w:hAnsi="Arial" w:cs="Arial"/>
          <w:sz w:val="20"/>
          <w:szCs w:val="20"/>
        </w:rPr>
      </w:pPr>
      <w:r w:rsidRPr="002D4858">
        <w:rPr>
          <w:rFonts w:ascii="Arial" w:hAnsi="Arial" w:cs="Arial"/>
          <w:sz w:val="20"/>
          <w:szCs w:val="20"/>
        </w:rPr>
        <w:t>Si se convalida una exclusión basada en el vínculo familiar, se genera una zona gris o un vacío donde la víctima, justamente por ser familiar del conductor, queda totalmente desamparada. Esto desnaturaliza el objetivo principal del seguro obligatorio, convirtiendo una herramienta creada para proteger a la sociedad en un artificio para liberar a la aseguradora.</w:t>
      </w:r>
    </w:p>
    <w:p w:rsidR="00780086" w:rsidRPr="002D4858" w:rsidRDefault="00780086" w:rsidP="00CE3F13">
      <w:pPr>
        <w:pStyle w:val="NormalWeb"/>
        <w:jc w:val="both"/>
        <w:rPr>
          <w:rFonts w:ascii="Arial" w:hAnsi="Arial" w:cs="Arial"/>
          <w:sz w:val="20"/>
          <w:szCs w:val="20"/>
        </w:rPr>
      </w:pPr>
      <w:r w:rsidRPr="002D4858">
        <w:rPr>
          <w:rFonts w:ascii="Arial" w:hAnsi="Arial" w:cs="Arial"/>
          <w:sz w:val="20"/>
          <w:szCs w:val="20"/>
        </w:rPr>
        <w:t xml:space="preserve"> Las aseguradoras justifican la cláusula de parentesco bajo la presunción de que </w:t>
      </w:r>
      <w:r w:rsidRPr="002D4858">
        <w:rPr>
          <w:rFonts w:ascii="Arial" w:hAnsi="Arial" w:cs="Arial"/>
          <w:i/>
          <w:iCs/>
          <w:sz w:val="20"/>
          <w:szCs w:val="20"/>
        </w:rPr>
        <w:t>todo</w:t>
      </w:r>
      <w:r w:rsidRPr="002D4858">
        <w:rPr>
          <w:rFonts w:ascii="Arial" w:hAnsi="Arial" w:cs="Arial"/>
          <w:sz w:val="20"/>
          <w:szCs w:val="20"/>
        </w:rPr>
        <w:t xml:space="preserve"> vínculo familiar cercano es sinónimo de fraude o connivencia (</w:t>
      </w:r>
      <w:r w:rsidRPr="002D4858">
        <w:rPr>
          <w:rFonts w:ascii="Arial" w:hAnsi="Arial" w:cs="Arial"/>
          <w:i/>
          <w:iCs/>
          <w:sz w:val="20"/>
          <w:szCs w:val="20"/>
        </w:rPr>
        <w:t>riesgo moral</w:t>
      </w:r>
      <w:r w:rsidRPr="002D4858">
        <w:rPr>
          <w:rFonts w:ascii="Arial" w:hAnsi="Arial" w:cs="Arial"/>
          <w:sz w:val="20"/>
          <w:szCs w:val="20"/>
        </w:rPr>
        <w:t xml:space="preserve">). Al plantearse como una presunción iuris et de jure (que no admite prueba en contrario), la cláusula condena de antemano cualquier vínculo familiar, </w:t>
      </w:r>
      <w:r w:rsidRPr="002D4858">
        <w:rPr>
          <w:rFonts w:ascii="Arial" w:hAnsi="Arial" w:cs="Arial"/>
          <w:bCs/>
          <w:sz w:val="20"/>
          <w:szCs w:val="20"/>
        </w:rPr>
        <w:t>asumiendo de manera inflexible y arbitraria que el asegurado y las víctimas están delinquiendo o confabulados</w:t>
      </w:r>
      <w:r w:rsidRPr="002D4858">
        <w:rPr>
          <w:rFonts w:ascii="Arial" w:hAnsi="Arial" w:cs="Arial"/>
          <w:sz w:val="20"/>
          <w:szCs w:val="20"/>
        </w:rPr>
        <w:t xml:space="preserve">, aun en supuestos trágicos e </w:t>
      </w:r>
      <w:r w:rsidRPr="002D4858">
        <w:rPr>
          <w:rFonts w:ascii="Arial" w:hAnsi="Arial" w:cs="Arial"/>
          <w:sz w:val="20"/>
          <w:szCs w:val="20"/>
        </w:rPr>
        <w:lastRenderedPageBreak/>
        <w:t>indudables como la muerte de un hijo, hermano o sobrino.</w:t>
      </w:r>
      <w:r w:rsidR="00301A82" w:rsidRPr="002D4858">
        <w:rPr>
          <w:rFonts w:ascii="Arial" w:hAnsi="Arial" w:cs="Arial"/>
          <w:sz w:val="20"/>
          <w:szCs w:val="20"/>
        </w:rPr>
        <w:t xml:space="preserve"> E</w:t>
      </w:r>
      <w:r w:rsidRPr="002D4858">
        <w:rPr>
          <w:rFonts w:ascii="Arial" w:hAnsi="Arial" w:cs="Arial"/>
          <w:sz w:val="20"/>
          <w:szCs w:val="20"/>
        </w:rPr>
        <w:t xml:space="preserve">sta presunción absoluta pisotea el </w:t>
      </w:r>
      <w:r w:rsidRPr="002D4858">
        <w:rPr>
          <w:rFonts w:ascii="Arial" w:hAnsi="Arial" w:cs="Arial"/>
          <w:bCs/>
          <w:sz w:val="20"/>
          <w:szCs w:val="20"/>
        </w:rPr>
        <w:t>principio de indemnidad</w:t>
      </w:r>
      <w:r w:rsidRPr="002D4858">
        <w:rPr>
          <w:rFonts w:ascii="Arial" w:hAnsi="Arial" w:cs="Arial"/>
          <w:sz w:val="20"/>
          <w:szCs w:val="20"/>
        </w:rPr>
        <w:t xml:space="preserve"> (el derecho constitucional de la víctima a ser íntegramente reparada).</w:t>
      </w:r>
    </w:p>
    <w:p w:rsidR="00780086" w:rsidRPr="002D4858" w:rsidRDefault="00780086" w:rsidP="00CE3F13">
      <w:pPr>
        <w:pStyle w:val="NormalWeb"/>
        <w:jc w:val="both"/>
        <w:rPr>
          <w:rFonts w:ascii="Arial" w:hAnsi="Arial" w:cs="Arial"/>
          <w:sz w:val="20"/>
          <w:szCs w:val="20"/>
        </w:rPr>
      </w:pPr>
      <w:r w:rsidRPr="002D4858">
        <w:rPr>
          <w:rFonts w:ascii="Arial" w:hAnsi="Arial" w:cs="Arial"/>
          <w:sz w:val="20"/>
          <w:szCs w:val="20"/>
        </w:rPr>
        <w:t xml:space="preserve">El voto del Dr. </w:t>
      </w:r>
      <w:proofErr w:type="spellStart"/>
      <w:r w:rsidRPr="002D4858">
        <w:rPr>
          <w:rFonts w:ascii="Arial" w:hAnsi="Arial" w:cs="Arial"/>
          <w:sz w:val="20"/>
          <w:szCs w:val="20"/>
        </w:rPr>
        <w:t>Lucchelli</w:t>
      </w:r>
      <w:proofErr w:type="spellEnd"/>
      <w:r w:rsidRPr="002D4858">
        <w:rPr>
          <w:rFonts w:ascii="Arial" w:hAnsi="Arial" w:cs="Arial"/>
          <w:sz w:val="20"/>
          <w:szCs w:val="20"/>
        </w:rPr>
        <w:t xml:space="preserve"> desmantela la pretensión de la aseguradora demostrando que una cláusula de exclusión contractual no puede blindarse bajo dogmas absolutos (como la presunción de fraude familiar) cuando su aplicación práctica destruye el fin tuitivo del seguro obligatorio, viola los derechos del consumidor y vulnera el principio constitucional de indemnidad de las víctimas.</w:t>
      </w:r>
    </w:p>
    <w:p w:rsidR="00052E58" w:rsidRPr="002D4858" w:rsidRDefault="00052E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sz w:val="20"/>
          <w:szCs w:val="20"/>
          <w:lang w:eastAsia="es-ES"/>
        </w:rPr>
        <w:t xml:space="preserve">Un precedente clave en materia de seguros es el  caso </w:t>
      </w:r>
      <w:r w:rsidRPr="002D4858">
        <w:rPr>
          <w:rFonts w:ascii="Arial" w:eastAsia="Times New Roman" w:hAnsi="Arial" w:cs="Arial"/>
          <w:b/>
          <w:bCs/>
          <w:sz w:val="20"/>
          <w:szCs w:val="20"/>
          <w:lang w:eastAsia="es-ES"/>
        </w:rPr>
        <w:t>«Esparza, Miguel Fernando c/ QBE Seguros La Buenos Aires S.A. s/ ordinario»</w:t>
      </w:r>
      <w:r w:rsidRPr="002D4858">
        <w:rPr>
          <w:rFonts w:ascii="Arial" w:eastAsia="Times New Roman" w:hAnsi="Arial" w:cs="Arial"/>
          <w:sz w:val="20"/>
          <w:szCs w:val="20"/>
          <w:lang w:eastAsia="es-ES"/>
        </w:rPr>
        <w:t xml:space="preserve"> (tramitado ante la Cámara Nacional de Apelaciones en lo Comercial, Sala F, con sentencia del 22 de marzo de 2021) </w:t>
      </w:r>
    </w:p>
    <w:p w:rsidR="00052E58" w:rsidRPr="002D4858" w:rsidRDefault="00052E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sz w:val="20"/>
          <w:szCs w:val="20"/>
          <w:lang w:eastAsia="es-ES"/>
        </w:rPr>
        <w:t xml:space="preserve">El  </w:t>
      </w:r>
      <w:r w:rsidRPr="002D4858">
        <w:rPr>
          <w:rFonts w:ascii="Arial" w:eastAsia="Times New Roman" w:hAnsi="Arial" w:cs="Arial"/>
          <w:b/>
          <w:bCs/>
          <w:sz w:val="20"/>
          <w:szCs w:val="20"/>
          <w:lang w:eastAsia="es-ES"/>
        </w:rPr>
        <w:t>dictamen emitido por la fiscal general ante la Cámara</w:t>
      </w:r>
      <w:r w:rsidRPr="002D4858">
        <w:rPr>
          <w:rFonts w:ascii="Arial" w:eastAsia="Times New Roman" w:hAnsi="Arial" w:cs="Arial"/>
          <w:sz w:val="20"/>
          <w:szCs w:val="20"/>
          <w:lang w:eastAsia="es-ES"/>
        </w:rPr>
        <w:t xml:space="preserve"> fue  plenamente compartido y adoptadas por la Sala F para estructurar el fallo. Entre los argumentos centrales tenemos:</w:t>
      </w:r>
    </w:p>
    <w:p w:rsidR="00052E58" w:rsidRPr="002D4858" w:rsidRDefault="00052E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bCs/>
          <w:sz w:val="20"/>
          <w:szCs w:val="20"/>
          <w:lang w:eastAsia="es-ES"/>
        </w:rPr>
        <w:t xml:space="preserve">1.- La víctima como consumidora </w:t>
      </w:r>
      <w:proofErr w:type="spellStart"/>
      <w:r w:rsidRPr="002D4858">
        <w:rPr>
          <w:rFonts w:ascii="Arial" w:eastAsia="Times New Roman" w:hAnsi="Arial" w:cs="Arial"/>
          <w:b/>
          <w:bCs/>
          <w:sz w:val="20"/>
          <w:szCs w:val="20"/>
          <w:lang w:eastAsia="es-ES"/>
        </w:rPr>
        <w:t>hiper</w:t>
      </w:r>
      <w:proofErr w:type="spellEnd"/>
      <w:r w:rsidRPr="002D4858">
        <w:rPr>
          <w:rFonts w:ascii="Arial" w:eastAsia="Times New Roman" w:hAnsi="Arial" w:cs="Arial"/>
          <w:b/>
          <w:bCs/>
          <w:sz w:val="20"/>
          <w:szCs w:val="20"/>
          <w:lang w:eastAsia="es-ES"/>
        </w:rPr>
        <w:t xml:space="preserve"> vulnerable:</w:t>
      </w:r>
      <w:r w:rsidRPr="002D4858">
        <w:rPr>
          <w:rFonts w:ascii="Arial" w:eastAsia="Times New Roman" w:hAnsi="Arial" w:cs="Arial"/>
          <w:sz w:val="20"/>
          <w:szCs w:val="20"/>
          <w:lang w:eastAsia="es-ES"/>
        </w:rPr>
        <w:t xml:space="preserve"> El dictamen sostuvo con firmeza que el tercero damnificado en un accidente de tránsito revestía el carácter de </w:t>
      </w:r>
      <w:r w:rsidRPr="002D4858">
        <w:rPr>
          <w:rFonts w:ascii="Arial" w:eastAsia="Times New Roman" w:hAnsi="Arial" w:cs="Arial"/>
          <w:b/>
          <w:bCs/>
          <w:sz w:val="20"/>
          <w:szCs w:val="20"/>
          <w:lang w:eastAsia="es-ES"/>
        </w:rPr>
        <w:t>consumidor equiparado</w:t>
      </w:r>
      <w:r w:rsidRPr="002D4858">
        <w:rPr>
          <w:rFonts w:ascii="Arial" w:eastAsia="Times New Roman" w:hAnsi="Arial" w:cs="Arial"/>
          <w:sz w:val="20"/>
          <w:szCs w:val="20"/>
          <w:lang w:eastAsia="es-ES"/>
        </w:rPr>
        <w:t xml:space="preserve"> a una relación de consumo conforme la  Constitución Nacional, y los arts. 1092 y 1096 del Código Civil y Comercial de la Nación). </w:t>
      </w:r>
    </w:p>
    <w:p w:rsidR="00052E58" w:rsidRPr="002D4858" w:rsidRDefault="00052E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sz w:val="20"/>
          <w:szCs w:val="20"/>
          <w:lang w:eastAsia="es-ES"/>
        </w:rPr>
        <w:t>Para el Ministerio Público, la normativa tuitiva del consumidor no se agota estrictamente en el vínculo directo entre tomador y aseguradora, sino que expande su órbita de protección hacia la víctima del hecho dañoso, dado el carácter social y masivo del sistema circulatorio vehicular.</w:t>
      </w:r>
    </w:p>
    <w:p w:rsidR="00052E58" w:rsidRPr="002D4858" w:rsidRDefault="00052E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bCs/>
          <w:sz w:val="20"/>
          <w:szCs w:val="20"/>
          <w:lang w:eastAsia="es-ES"/>
        </w:rPr>
        <w:t>La obligatoriedad de asegurar los vehículos  (Ley 24.449):</w:t>
      </w:r>
      <w:r w:rsidRPr="002D4858">
        <w:rPr>
          <w:rFonts w:ascii="Arial" w:eastAsia="Times New Roman" w:hAnsi="Arial" w:cs="Arial"/>
          <w:sz w:val="20"/>
          <w:szCs w:val="20"/>
          <w:lang w:eastAsia="es-ES"/>
        </w:rPr>
        <w:t xml:space="preserve"> La fiscal destacó que el art. 68 de la Ley de Tránsito instituyó el seguro obligatorio de responsabilidad civil con una clara finalidad tuitiva y de orden público: garantizar que exista una entidad de respaldo patrimonial solvente frente a cualquier contingencia lesiva en la vía pública. Por lo tanto, las prerrogativas o limitaciones contractuales internas entre la aseguradora y el asegurado no pueden oponerse de forma absoluta para desamparar a la víctima. </w:t>
      </w:r>
    </w:p>
    <w:p w:rsidR="00052E58" w:rsidRPr="002D4858" w:rsidRDefault="00052E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bCs/>
          <w:sz w:val="20"/>
          <w:szCs w:val="20"/>
          <w:lang w:eastAsia="es-ES"/>
        </w:rPr>
        <w:t>Procedencia de la acción directa y órbita comercial:</w:t>
      </w:r>
      <w:r w:rsidRPr="002D4858">
        <w:rPr>
          <w:rFonts w:ascii="Arial" w:eastAsia="Times New Roman" w:hAnsi="Arial" w:cs="Arial"/>
          <w:sz w:val="20"/>
          <w:szCs w:val="20"/>
          <w:lang w:eastAsia="es-ES"/>
        </w:rPr>
        <w:t xml:space="preserve"> El dictamen analizó la viabilidad de demandar directamente a la citada en garantía, reafirmando que la especialidad del fuero comercial y las reglas del mercado asegurador deben subordinarse al principio de reparación integral del daño y a la normativa </w:t>
      </w:r>
      <w:proofErr w:type="spellStart"/>
      <w:r w:rsidRPr="002D4858">
        <w:rPr>
          <w:rFonts w:ascii="Arial" w:eastAsia="Times New Roman" w:hAnsi="Arial" w:cs="Arial"/>
          <w:sz w:val="20"/>
          <w:szCs w:val="20"/>
          <w:lang w:eastAsia="es-ES"/>
        </w:rPr>
        <w:t>consumerista</w:t>
      </w:r>
      <w:proofErr w:type="spellEnd"/>
      <w:r w:rsidRPr="002D4858">
        <w:rPr>
          <w:rFonts w:ascii="Arial" w:eastAsia="Times New Roman" w:hAnsi="Arial" w:cs="Arial"/>
          <w:sz w:val="20"/>
          <w:szCs w:val="20"/>
          <w:lang w:eastAsia="es-ES"/>
        </w:rPr>
        <w:t xml:space="preserve">, evitando vallados procesales que obstaculicen el acceso a la justicia de los damnificados. Esto es totalmente innovador en el ámbito del seguro. </w:t>
      </w:r>
    </w:p>
    <w:p w:rsidR="00052E58" w:rsidRPr="002D4858" w:rsidRDefault="00052E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sz w:val="20"/>
          <w:szCs w:val="20"/>
          <w:lang w:eastAsia="es-ES"/>
        </w:rPr>
        <w:t xml:space="preserve">La Cámara Comercial  sostuvo  que la interpretación de los contratos de seguro en el contexto actual debe realizarse bajo un prisma Constitucional y convencional favorable a la parte más débil. El fallo consolidó la doctrina de que la combinación entre el </w:t>
      </w:r>
      <w:r w:rsidRPr="002D4858">
        <w:rPr>
          <w:rFonts w:ascii="Arial" w:eastAsia="Times New Roman" w:hAnsi="Arial" w:cs="Arial"/>
          <w:b/>
          <w:bCs/>
          <w:sz w:val="20"/>
          <w:szCs w:val="20"/>
          <w:lang w:eastAsia="es-ES"/>
        </w:rPr>
        <w:t>seguro obligatorio</w:t>
      </w:r>
      <w:r w:rsidRPr="002D4858">
        <w:rPr>
          <w:rFonts w:ascii="Arial" w:eastAsia="Times New Roman" w:hAnsi="Arial" w:cs="Arial"/>
          <w:sz w:val="20"/>
          <w:szCs w:val="20"/>
          <w:lang w:eastAsia="es-ES"/>
        </w:rPr>
        <w:t xml:space="preserve"> y las normas de </w:t>
      </w:r>
      <w:r w:rsidRPr="002D4858">
        <w:rPr>
          <w:rFonts w:ascii="Arial" w:eastAsia="Times New Roman" w:hAnsi="Arial" w:cs="Arial"/>
          <w:bCs/>
          <w:sz w:val="20"/>
          <w:szCs w:val="20"/>
          <w:lang w:eastAsia="es-ES"/>
        </w:rPr>
        <w:t>defensa del consumidor</w:t>
      </w:r>
      <w:r w:rsidRPr="002D4858">
        <w:rPr>
          <w:rFonts w:ascii="Arial" w:eastAsia="Times New Roman" w:hAnsi="Arial" w:cs="Arial"/>
          <w:sz w:val="20"/>
          <w:szCs w:val="20"/>
          <w:lang w:eastAsia="es-ES"/>
        </w:rPr>
        <w:t xml:space="preserve"> derriban muchas de las defensas tradicionales de las aseguradoras (como interpretaciones extensivas de exclusiones o planteos procesales dilatorios), jerarquizando el rol del tercero perjudicado como un sujeto tutelado por el ordenamiento jurídico integral.</w:t>
      </w:r>
    </w:p>
    <w:p w:rsidR="006D0A1D" w:rsidRPr="002D4858" w:rsidRDefault="006D0A1D" w:rsidP="00CE3F13">
      <w:pPr>
        <w:spacing w:before="100" w:beforeAutospacing="1" w:after="100" w:afterAutospacing="1" w:line="240" w:lineRule="auto"/>
        <w:jc w:val="both"/>
        <w:rPr>
          <w:rFonts w:ascii="Arial" w:eastAsia="Times New Roman" w:hAnsi="Arial" w:cs="Arial"/>
          <w:sz w:val="20"/>
          <w:szCs w:val="20"/>
          <w:lang w:eastAsia="es-ES"/>
        </w:rPr>
      </w:pPr>
    </w:p>
    <w:p w:rsidR="006D0A1D" w:rsidRPr="002D4858" w:rsidRDefault="006D0A1D" w:rsidP="00CE3F13">
      <w:pPr>
        <w:spacing w:before="100" w:beforeAutospacing="1" w:after="100" w:afterAutospacing="1" w:line="240" w:lineRule="auto"/>
        <w:jc w:val="both"/>
        <w:rPr>
          <w:rFonts w:ascii="Arial" w:eastAsia="Times New Roman" w:hAnsi="Arial" w:cs="Arial"/>
          <w:b/>
          <w:sz w:val="20"/>
          <w:szCs w:val="20"/>
          <w:lang w:eastAsia="es-ES"/>
        </w:rPr>
      </w:pPr>
      <w:r w:rsidRPr="002D4858">
        <w:rPr>
          <w:rFonts w:ascii="Arial" w:hAnsi="Arial" w:cs="Arial"/>
          <w:b/>
          <w:sz w:val="20"/>
          <w:szCs w:val="20"/>
        </w:rPr>
        <w:t>Criterio restrictivo: la validez de la exclusión de cobertura por parentesco</w:t>
      </w:r>
    </w:p>
    <w:p w:rsidR="002B4D3F" w:rsidRPr="002D4858" w:rsidRDefault="002D48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sz w:val="20"/>
          <w:szCs w:val="20"/>
          <w:lang w:eastAsia="es-ES"/>
        </w:rPr>
        <w:t>Los parientes no son terceros:</w:t>
      </w:r>
      <w:r w:rsidRPr="002D4858">
        <w:rPr>
          <w:rFonts w:ascii="Arial" w:eastAsia="Times New Roman" w:hAnsi="Arial" w:cs="Arial"/>
          <w:sz w:val="20"/>
          <w:szCs w:val="20"/>
          <w:lang w:eastAsia="es-ES"/>
        </w:rPr>
        <w:t xml:space="preserve"> Muchos</w:t>
      </w:r>
      <w:r w:rsidR="006D0A1D" w:rsidRPr="002D4858">
        <w:rPr>
          <w:rFonts w:ascii="Arial" w:eastAsia="Times New Roman" w:hAnsi="Arial" w:cs="Arial"/>
          <w:sz w:val="20"/>
          <w:szCs w:val="20"/>
          <w:lang w:eastAsia="es-ES"/>
        </w:rPr>
        <w:t xml:space="preserve"> son los argumentos a favor de la validez de la exclusión de cobertura por parentesco entre ellos es que e</w:t>
      </w:r>
      <w:r w:rsidR="002B4D3F" w:rsidRPr="002D4858">
        <w:rPr>
          <w:rFonts w:ascii="Arial" w:eastAsia="Times New Roman" w:hAnsi="Arial" w:cs="Arial"/>
          <w:sz w:val="20"/>
          <w:szCs w:val="20"/>
          <w:lang w:eastAsia="es-ES"/>
        </w:rPr>
        <w:t xml:space="preserve">l contrato de seguro es un negocio basado en la estipulación de riesgos determinados. El artículo 61 de la Ley de Seguros establece que en el seguro de responsabilidad civil, el asegurador se obliga a mantener indemne al asegurado por la obligación de reparar un daño causado a un </w:t>
      </w:r>
      <w:r w:rsidR="002B4D3F" w:rsidRPr="002D4858">
        <w:rPr>
          <w:rFonts w:ascii="Arial" w:eastAsia="Times New Roman" w:hAnsi="Arial" w:cs="Arial"/>
          <w:i/>
          <w:iCs/>
          <w:sz w:val="20"/>
          <w:szCs w:val="20"/>
          <w:lang w:eastAsia="es-ES"/>
        </w:rPr>
        <w:t>tercero</w:t>
      </w:r>
      <w:r w:rsidR="002B4D3F" w:rsidRPr="002D4858">
        <w:rPr>
          <w:rFonts w:ascii="Arial" w:eastAsia="Times New Roman" w:hAnsi="Arial" w:cs="Arial"/>
          <w:sz w:val="20"/>
          <w:szCs w:val="20"/>
          <w:lang w:eastAsia="es-ES"/>
        </w:rPr>
        <w:t xml:space="preserve">. Desde la óptica estrictamente técnica de la ley, los integrantes del grupo familiar estrecho no revisten el carácter de "terceros ajenos" indemnizables, sino que forman parte del mismo núcleo de riesgo </w:t>
      </w:r>
      <w:r w:rsidR="002B4D3F" w:rsidRPr="002D4858">
        <w:rPr>
          <w:rFonts w:ascii="Arial" w:eastAsia="Times New Roman" w:hAnsi="Arial" w:cs="Arial"/>
          <w:sz w:val="20"/>
          <w:szCs w:val="20"/>
          <w:lang w:eastAsia="es-ES"/>
        </w:rPr>
        <w:lastRenderedPageBreak/>
        <w:t>del asegurado. La exclusión no es una "pérdida de cobertura" por un castigo, sino una delimitación originaria del objeto del contrato: el riesgo por daños a familiares simplemente nunca fue asumido ni tarifado.</w:t>
      </w:r>
    </w:p>
    <w:p w:rsidR="002B4D3F" w:rsidRPr="002D4858" w:rsidRDefault="002D4858"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sz w:val="20"/>
          <w:szCs w:val="20"/>
          <w:lang w:eastAsia="es-ES"/>
        </w:rPr>
        <w:t xml:space="preserve">Calculo de la prima: </w:t>
      </w:r>
      <w:r w:rsidR="002B4D3F" w:rsidRPr="002D4858">
        <w:rPr>
          <w:rFonts w:ascii="Arial" w:eastAsia="Times New Roman" w:hAnsi="Arial" w:cs="Arial"/>
          <w:sz w:val="20"/>
          <w:szCs w:val="20"/>
          <w:lang w:eastAsia="es-ES"/>
        </w:rPr>
        <w:t xml:space="preserve">El sistema de seguros funciona sobre bases actuariales donde la prima se calcula en función de la dimensión del riesgo asumido. Incluir los daños al cónyuge o parientes alteraría la ecuación económica-financiera de la mutualidad, ya que el costo de la prima debería multiplicarse exponencialmente para absorber riesgos que escapan al mercado neutral de responsabilidad civil. La ley ampara la libertad de estipulación de los planes de seguro aprobados por el órgano de control (Superintendencia de Seguros de la Nación), los cuales determinan qué eventos quedan comprendidos y cuáles sustraídos del amparo </w:t>
      </w:r>
      <w:proofErr w:type="spellStart"/>
      <w:r w:rsidR="002B4D3F" w:rsidRPr="002D4858">
        <w:rPr>
          <w:rFonts w:ascii="Arial" w:eastAsia="Times New Roman" w:hAnsi="Arial" w:cs="Arial"/>
          <w:sz w:val="20"/>
          <w:szCs w:val="20"/>
          <w:lang w:eastAsia="es-ES"/>
        </w:rPr>
        <w:t>asegurativo</w:t>
      </w:r>
      <w:proofErr w:type="spellEnd"/>
      <w:r w:rsidR="002B4D3F" w:rsidRPr="002D4858">
        <w:rPr>
          <w:rFonts w:ascii="Arial" w:eastAsia="Times New Roman" w:hAnsi="Arial" w:cs="Arial"/>
          <w:sz w:val="20"/>
          <w:szCs w:val="20"/>
          <w:lang w:eastAsia="es-ES"/>
        </w:rPr>
        <w:t>.</w:t>
      </w:r>
    </w:p>
    <w:p w:rsidR="002B4D3F" w:rsidRPr="002D4858" w:rsidRDefault="002B4D3F"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bCs/>
          <w:sz w:val="20"/>
          <w:szCs w:val="20"/>
          <w:lang w:eastAsia="es-ES"/>
        </w:rPr>
        <w:t>Carácter imperativo de las condiciones contractuales y la carga probatoria (Art. 11 de la Ley 17.418):</w:t>
      </w:r>
      <w:r w:rsidRPr="002D4858">
        <w:rPr>
          <w:rFonts w:ascii="Arial" w:eastAsia="Times New Roman" w:hAnsi="Arial" w:cs="Arial"/>
          <w:sz w:val="20"/>
          <w:szCs w:val="20"/>
          <w:lang w:eastAsia="es-ES"/>
        </w:rPr>
        <w:t xml:space="preserve"> La Ley de Seguros exige que las exclusiones y limitaciones de cobertura estén redactadas en forma clara y destacada en las condiciones de la póliza. Una vez cumplido este recaudo formal, la cláusula de exclusión por parentesco opera plenamente como una convención válida entre partes capaces. Bajo la óptica de la Ley 17.418, los contratos deben cumplirse conforme a lo </w:t>
      </w:r>
      <w:proofErr w:type="gramStart"/>
      <w:r w:rsidRPr="002D4858">
        <w:rPr>
          <w:rFonts w:ascii="Arial" w:eastAsia="Times New Roman" w:hAnsi="Arial" w:cs="Arial"/>
          <w:sz w:val="20"/>
          <w:szCs w:val="20"/>
          <w:lang w:eastAsia="es-ES"/>
        </w:rPr>
        <w:t>pactado ,</w:t>
      </w:r>
      <w:proofErr w:type="gramEnd"/>
      <w:r w:rsidRPr="002D4858">
        <w:rPr>
          <w:rFonts w:ascii="Arial" w:eastAsia="Times New Roman" w:hAnsi="Arial" w:cs="Arial"/>
          <w:sz w:val="20"/>
          <w:szCs w:val="20"/>
          <w:lang w:eastAsia="es-ES"/>
        </w:rPr>
        <w:t xml:space="preserve"> y los jueces no pueden desvirtuar el texto legal ni crear coberturas donde las partes no las contrataron ni pagaron por ellas. </w:t>
      </w:r>
    </w:p>
    <w:p w:rsidR="002B4D3F" w:rsidRPr="002D4858" w:rsidRDefault="002B4D3F" w:rsidP="00CE3F13">
      <w:pPr>
        <w:spacing w:before="100" w:beforeAutospacing="1" w:after="100" w:afterAutospacing="1" w:line="240" w:lineRule="auto"/>
        <w:jc w:val="both"/>
        <w:rPr>
          <w:rFonts w:ascii="Arial" w:eastAsia="Times New Roman" w:hAnsi="Arial" w:cs="Arial"/>
          <w:sz w:val="20"/>
          <w:szCs w:val="20"/>
          <w:lang w:eastAsia="es-ES"/>
        </w:rPr>
      </w:pPr>
      <w:r w:rsidRPr="002D4858">
        <w:rPr>
          <w:rFonts w:ascii="Arial" w:eastAsia="Times New Roman" w:hAnsi="Arial" w:cs="Arial"/>
          <w:b/>
          <w:bCs/>
          <w:sz w:val="20"/>
          <w:szCs w:val="20"/>
          <w:lang w:eastAsia="es-ES"/>
        </w:rPr>
        <w:t>Los límites de la acción directa y las defensas oponibles (Art. 118 de la Ley 17.418):</w:t>
      </w:r>
      <w:r w:rsidRPr="002D4858">
        <w:rPr>
          <w:rFonts w:ascii="Arial" w:eastAsia="Times New Roman" w:hAnsi="Arial" w:cs="Arial"/>
          <w:sz w:val="20"/>
          <w:szCs w:val="20"/>
          <w:lang w:eastAsia="es-ES"/>
        </w:rPr>
        <w:t xml:space="preserve"> El régimen de la Ley de Seguros establece que, si bien la víctima damnificada puede citar en garantía a la aseguradora, esta última puede oponerle todas las defensas que tenga contra el asegurado, entre ellas, la falta de cobertura o la exclusión de riesgo pactada en el contrato base. Sostener lo contrario implicaría obligar al asegurador a responder por contingencias contractualmente excluidas, violentando el principio cardinal de que la responsabilidad del asegurador nunca puede exceder los términos del contrato por el cual se emitió la póliza.</w:t>
      </w:r>
    </w:p>
    <w:p w:rsidR="002D4858" w:rsidRPr="002D4858" w:rsidRDefault="002D4858" w:rsidP="00CE3F13">
      <w:pPr>
        <w:pStyle w:val="NormalWeb"/>
        <w:jc w:val="both"/>
        <w:rPr>
          <w:rFonts w:ascii="Arial" w:hAnsi="Arial" w:cs="Arial"/>
          <w:sz w:val="20"/>
          <w:szCs w:val="20"/>
        </w:rPr>
      </w:pPr>
      <w:r w:rsidRPr="002D4858">
        <w:rPr>
          <w:rFonts w:ascii="Arial" w:hAnsi="Arial" w:cs="Arial"/>
          <w:sz w:val="20"/>
          <w:szCs w:val="20"/>
        </w:rPr>
        <w:t>Para ilustrar cómo operan estos criterios en la práctica judicial de la Capital Federal, se pueden señalar precedentes y líneas de pronunciamientos de las salas de la Cámara Nacional de Apelaciones en lo Civil que abordan la temática de la delimitación del riesgo y la operatividad de las defensas opuestas por las aseguradoras</w:t>
      </w:r>
    </w:p>
    <w:p w:rsidR="002D4858" w:rsidRPr="002D4858" w:rsidRDefault="002D4858" w:rsidP="00CE3F13">
      <w:pPr>
        <w:pStyle w:val="NormalWeb"/>
        <w:jc w:val="both"/>
        <w:rPr>
          <w:rFonts w:ascii="Arial" w:hAnsi="Arial" w:cs="Arial"/>
          <w:sz w:val="20"/>
          <w:szCs w:val="20"/>
        </w:rPr>
      </w:pPr>
      <w:r w:rsidRPr="002D4858">
        <w:rPr>
          <w:rFonts w:ascii="Arial" w:hAnsi="Arial" w:cs="Arial"/>
          <w:bCs/>
          <w:sz w:val="20"/>
          <w:szCs w:val="20"/>
        </w:rPr>
        <w:t>Cámara Nacional Civil, Sala H</w:t>
      </w:r>
      <w:r w:rsidRPr="002D4858">
        <w:rPr>
          <w:rFonts w:ascii="Arial" w:hAnsi="Arial" w:cs="Arial"/>
          <w:b/>
          <w:bCs/>
          <w:sz w:val="20"/>
          <w:szCs w:val="20"/>
        </w:rPr>
        <w:t xml:space="preserve">, </w:t>
      </w:r>
      <w:r w:rsidRPr="002D4858">
        <w:rPr>
          <w:rFonts w:ascii="Arial" w:hAnsi="Arial" w:cs="Arial"/>
          <w:b/>
          <w:bCs/>
          <w:i/>
          <w:iCs/>
          <w:sz w:val="20"/>
          <w:szCs w:val="20"/>
        </w:rPr>
        <w:t>"G., M. E. c/ Transportes Automotores 20 de Junio S.A. s/ daños y perjuicios"</w:t>
      </w:r>
      <w:r w:rsidRPr="002D4858">
        <w:rPr>
          <w:rFonts w:ascii="Arial" w:hAnsi="Arial" w:cs="Arial"/>
          <w:sz w:val="20"/>
          <w:szCs w:val="20"/>
        </w:rPr>
        <w:t>: Las salas del fuero civil porteño sostienen consistentemente que el damnificado que pretende hacer valer los derechos emergentes de una póliza de seguro de responsabilidad civil voluntaria se encuentra sujeto a los términos y restricciones estipulados en ella, de modo que la cláusula que excluye a los parientes conserva plena operatividad si la aseguradora cumple con la carga de demostrar fehacientemente el vínculo.</w:t>
      </w:r>
    </w:p>
    <w:p w:rsidR="002D4858" w:rsidRPr="002D4858" w:rsidRDefault="002D4858" w:rsidP="00CE3F13">
      <w:pPr>
        <w:pStyle w:val="NormalWeb"/>
        <w:jc w:val="both"/>
        <w:rPr>
          <w:rFonts w:ascii="Arial" w:hAnsi="Arial" w:cs="Arial"/>
          <w:sz w:val="20"/>
          <w:szCs w:val="20"/>
        </w:rPr>
      </w:pPr>
      <w:r w:rsidRPr="002D4858">
        <w:rPr>
          <w:rFonts w:ascii="Arial" w:hAnsi="Arial" w:cs="Arial"/>
          <w:bCs/>
          <w:sz w:val="20"/>
          <w:szCs w:val="20"/>
        </w:rPr>
        <w:t>Cámara Nacional Civil</w:t>
      </w:r>
      <w:r w:rsidRPr="002D4858">
        <w:rPr>
          <w:rFonts w:ascii="Arial" w:hAnsi="Arial" w:cs="Arial"/>
          <w:b/>
          <w:bCs/>
          <w:sz w:val="20"/>
          <w:szCs w:val="20"/>
        </w:rPr>
        <w:t xml:space="preserve"> , </w:t>
      </w:r>
      <w:r w:rsidRPr="002D4858">
        <w:rPr>
          <w:rFonts w:ascii="Arial" w:hAnsi="Arial" w:cs="Arial"/>
          <w:bCs/>
          <w:sz w:val="20"/>
          <w:szCs w:val="20"/>
        </w:rPr>
        <w:t>Sala K</w:t>
      </w:r>
      <w:r w:rsidRPr="002D4858">
        <w:rPr>
          <w:rFonts w:ascii="Arial" w:hAnsi="Arial" w:cs="Arial"/>
          <w:b/>
          <w:bCs/>
          <w:sz w:val="20"/>
          <w:szCs w:val="20"/>
        </w:rPr>
        <w:t xml:space="preserve">, </w:t>
      </w:r>
      <w:r w:rsidRPr="002D4858">
        <w:rPr>
          <w:rFonts w:ascii="Arial" w:hAnsi="Arial" w:cs="Arial"/>
          <w:bCs/>
          <w:sz w:val="20"/>
          <w:szCs w:val="20"/>
        </w:rPr>
        <w:t xml:space="preserve">autos de similar aplicación sobre </w:t>
      </w:r>
      <w:proofErr w:type="spellStart"/>
      <w:r w:rsidRPr="002D4858">
        <w:rPr>
          <w:rFonts w:ascii="Arial" w:hAnsi="Arial" w:cs="Arial"/>
          <w:bCs/>
          <w:sz w:val="20"/>
          <w:szCs w:val="20"/>
        </w:rPr>
        <w:t>oponibilidad</w:t>
      </w:r>
      <w:proofErr w:type="spellEnd"/>
      <w:r w:rsidRPr="002D4858">
        <w:rPr>
          <w:rFonts w:ascii="Arial" w:hAnsi="Arial" w:cs="Arial"/>
          <w:bCs/>
          <w:sz w:val="20"/>
          <w:szCs w:val="20"/>
        </w:rPr>
        <w:t xml:space="preserve"> de defensas sustanciales</w:t>
      </w:r>
      <w:r w:rsidRPr="002D4858">
        <w:rPr>
          <w:rFonts w:ascii="Arial" w:hAnsi="Arial" w:cs="Arial"/>
          <w:b/>
          <w:bCs/>
          <w:sz w:val="20"/>
          <w:szCs w:val="20"/>
        </w:rPr>
        <w:t>:</w:t>
      </w:r>
      <w:r w:rsidRPr="002D4858">
        <w:rPr>
          <w:rFonts w:ascii="Arial" w:hAnsi="Arial" w:cs="Arial"/>
          <w:sz w:val="20"/>
          <w:szCs w:val="20"/>
        </w:rPr>
        <w:t xml:space="preserve"> En diversos precedentes de esta y otras salas (como la B, C, F y M), se ha convalidado el rechazo de la citación en garantía o la admisión de la exclusión frente al tercero cuando la prueba instrumental demuestra de forma categórica que el damnificado se encontraba dentro del grado prohibido por el esquema contractual, recordando que el fuero civil no equipara mecánicamente el seguro voluntario al régimen imperativo del seguro obligatorio mínimo de la Ley de Tránsito en lo que respecta a la inoponibilidad absoluta de defensas.</w:t>
      </w:r>
    </w:p>
    <w:p w:rsidR="002A32A6" w:rsidRDefault="002A32A6" w:rsidP="00CE3F13">
      <w:pPr>
        <w:spacing w:before="100" w:beforeAutospacing="1" w:after="100" w:afterAutospacing="1" w:line="240" w:lineRule="auto"/>
        <w:jc w:val="both"/>
        <w:rPr>
          <w:rFonts w:ascii="Arial" w:eastAsia="Times New Roman" w:hAnsi="Arial" w:cs="Arial"/>
          <w:b/>
          <w:sz w:val="24"/>
          <w:szCs w:val="24"/>
          <w:lang w:eastAsia="es-ES"/>
        </w:rPr>
      </w:pPr>
      <w:r w:rsidRPr="002A32A6">
        <w:rPr>
          <w:rFonts w:ascii="Arial" w:hAnsi="Arial" w:cs="Arial"/>
          <w:b/>
        </w:rPr>
        <w:t>Diferencia de criterios jurisprudenciales entre la Provincia de Buenos Aires y la Capital Federal ante la exclusión de cobertura por parentesco</w:t>
      </w:r>
    </w:p>
    <w:p w:rsidR="002D4858" w:rsidRPr="002D4858" w:rsidRDefault="002D4858" w:rsidP="00CE3F13">
      <w:pPr>
        <w:spacing w:before="100" w:beforeAutospacing="1" w:after="100" w:afterAutospacing="1" w:line="240" w:lineRule="auto"/>
        <w:jc w:val="both"/>
        <w:rPr>
          <w:rFonts w:ascii="Arial" w:eastAsia="Times New Roman" w:hAnsi="Arial" w:cs="Arial"/>
          <w:lang w:eastAsia="es-ES"/>
        </w:rPr>
      </w:pPr>
      <w:r w:rsidRPr="002D4858">
        <w:rPr>
          <w:rFonts w:ascii="Arial" w:eastAsia="Times New Roman" w:hAnsi="Arial" w:cs="Arial"/>
          <w:lang w:eastAsia="es-ES"/>
        </w:rPr>
        <w:t xml:space="preserve">En la </w:t>
      </w:r>
      <w:r w:rsidRPr="002D4858">
        <w:rPr>
          <w:rFonts w:ascii="Arial" w:eastAsia="Times New Roman" w:hAnsi="Arial" w:cs="Arial"/>
          <w:bCs/>
          <w:lang w:eastAsia="es-ES"/>
        </w:rPr>
        <w:t>Provincia de Buenos Aires</w:t>
      </w:r>
      <w:r w:rsidRPr="002D4858">
        <w:rPr>
          <w:rFonts w:ascii="Arial" w:eastAsia="Times New Roman" w:hAnsi="Arial" w:cs="Arial"/>
          <w:lang w:eastAsia="es-ES"/>
        </w:rPr>
        <w:t xml:space="preserve">, la tendencia jurisprudencial ha evolucionado hacia la inoponibilidad  de las exclusiones de cobertura frente al tercero damnificado, jerarquizando el carácter alimentario y tuitivo de la indemnización. Se interpreta que el artículo 118 de la Ley de Seguros cede ante el orden público sustancial del derecho de daños y del consumidor, impidiendo que una convención </w:t>
      </w:r>
      <w:r w:rsidR="002A32A6" w:rsidRPr="002A32A6">
        <w:rPr>
          <w:rFonts w:ascii="Arial" w:eastAsia="Times New Roman" w:hAnsi="Arial" w:cs="Arial"/>
          <w:lang w:eastAsia="es-ES"/>
        </w:rPr>
        <w:t>privada</w:t>
      </w:r>
      <w:r w:rsidRPr="002D4858">
        <w:rPr>
          <w:rFonts w:ascii="Arial" w:eastAsia="Times New Roman" w:hAnsi="Arial" w:cs="Arial"/>
          <w:lang w:eastAsia="es-ES"/>
        </w:rPr>
        <w:t xml:space="preserve"> entre asegurador y asegurado frustre el principio de indemnidad.</w:t>
      </w:r>
    </w:p>
    <w:p w:rsidR="002D4858" w:rsidRPr="002D4858" w:rsidRDefault="002D4858" w:rsidP="00CE3F13">
      <w:pPr>
        <w:spacing w:before="100" w:beforeAutospacing="1" w:after="100" w:afterAutospacing="1" w:line="240" w:lineRule="auto"/>
        <w:jc w:val="both"/>
        <w:rPr>
          <w:rFonts w:ascii="Arial" w:eastAsia="Times New Roman" w:hAnsi="Arial" w:cs="Arial"/>
          <w:lang w:eastAsia="es-ES"/>
        </w:rPr>
      </w:pPr>
      <w:r w:rsidRPr="002D4858">
        <w:rPr>
          <w:rFonts w:ascii="Arial" w:eastAsia="Times New Roman" w:hAnsi="Arial" w:cs="Arial"/>
          <w:lang w:eastAsia="es-ES"/>
        </w:rPr>
        <w:lastRenderedPageBreak/>
        <w:t xml:space="preserve">En </w:t>
      </w:r>
      <w:r w:rsidRPr="002D4858">
        <w:rPr>
          <w:rFonts w:ascii="Arial" w:eastAsia="Times New Roman" w:hAnsi="Arial" w:cs="Arial"/>
          <w:bCs/>
          <w:lang w:eastAsia="es-ES"/>
        </w:rPr>
        <w:t>Capital Federal</w:t>
      </w:r>
      <w:r w:rsidR="002A32A6" w:rsidRPr="002A32A6">
        <w:rPr>
          <w:rFonts w:ascii="Arial" w:eastAsia="Times New Roman" w:hAnsi="Arial" w:cs="Arial"/>
          <w:bCs/>
          <w:lang w:eastAsia="es-ES"/>
        </w:rPr>
        <w:t xml:space="preserve"> en</w:t>
      </w:r>
      <w:r w:rsidRPr="002D4858">
        <w:rPr>
          <w:rFonts w:ascii="Arial" w:eastAsia="Times New Roman" w:hAnsi="Arial" w:cs="Arial"/>
          <w:lang w:eastAsia="es-ES"/>
        </w:rPr>
        <w:t xml:space="preserve"> algunas salas civiles</w:t>
      </w:r>
      <w:r w:rsidR="002A32A6" w:rsidRPr="002A32A6">
        <w:rPr>
          <w:rFonts w:ascii="Arial" w:eastAsia="Times New Roman" w:hAnsi="Arial" w:cs="Arial"/>
          <w:lang w:eastAsia="es-ES"/>
        </w:rPr>
        <w:t xml:space="preserve"> y comerciales</w:t>
      </w:r>
      <w:r w:rsidRPr="002D4858">
        <w:rPr>
          <w:rFonts w:ascii="Arial" w:eastAsia="Times New Roman" w:hAnsi="Arial" w:cs="Arial"/>
          <w:lang w:eastAsia="es-ES"/>
        </w:rPr>
        <w:t xml:space="preserve">, se ha mantenido con mayor rigor técnico la </w:t>
      </w:r>
      <w:proofErr w:type="spellStart"/>
      <w:r w:rsidRPr="002D4858">
        <w:rPr>
          <w:rFonts w:ascii="Arial" w:eastAsia="Times New Roman" w:hAnsi="Arial" w:cs="Arial"/>
          <w:lang w:eastAsia="es-ES"/>
        </w:rPr>
        <w:t>oponibilidad</w:t>
      </w:r>
      <w:proofErr w:type="spellEnd"/>
      <w:r w:rsidRPr="002D4858">
        <w:rPr>
          <w:rFonts w:ascii="Arial" w:eastAsia="Times New Roman" w:hAnsi="Arial" w:cs="Arial"/>
          <w:lang w:eastAsia="es-ES"/>
        </w:rPr>
        <w:t xml:space="preserve"> de las defensas sustanciales nacidas del contrato. Bajo este enfoque, la citación en garantía no transforma la obligación del asegurador en una garantía solidaria absoluta e incondicionada; si el riesgo no fue contratado ni integrado en la ecuación de la prima, la defensa de falta de cobertura es oponible por imperio del principio de relatividad de los contratos.</w:t>
      </w:r>
    </w:p>
    <w:p w:rsidR="002D4858" w:rsidRPr="002D4858" w:rsidRDefault="002D4858" w:rsidP="00CE3F13">
      <w:pPr>
        <w:spacing w:before="100" w:beforeAutospacing="1" w:after="100" w:afterAutospacing="1" w:line="240" w:lineRule="auto"/>
        <w:jc w:val="both"/>
        <w:rPr>
          <w:rFonts w:ascii="Arial" w:eastAsia="Times New Roman" w:hAnsi="Arial" w:cs="Arial"/>
          <w:lang w:eastAsia="es-ES"/>
        </w:rPr>
      </w:pPr>
      <w:r w:rsidRPr="002D4858">
        <w:rPr>
          <w:rFonts w:ascii="Arial" w:eastAsia="Times New Roman" w:hAnsi="Arial" w:cs="Arial"/>
          <w:lang w:eastAsia="es-ES"/>
        </w:rPr>
        <w:t xml:space="preserve"> </w:t>
      </w:r>
      <w:r w:rsidRPr="002D4858">
        <w:rPr>
          <w:rFonts w:ascii="Arial" w:eastAsia="Times New Roman" w:hAnsi="Arial" w:cs="Arial"/>
          <w:bCs/>
          <w:lang w:eastAsia="es-ES"/>
        </w:rPr>
        <w:t>La colisión entre el microsistema de consumo (Ley 24.240) y la autonomía técnica actuarial (SSN):</w:t>
      </w:r>
    </w:p>
    <w:p w:rsidR="002D4858" w:rsidRPr="002D4858" w:rsidRDefault="002D4858" w:rsidP="00CE3F13">
      <w:pPr>
        <w:spacing w:before="100" w:beforeAutospacing="1" w:after="100" w:afterAutospacing="1" w:line="240" w:lineRule="auto"/>
        <w:jc w:val="both"/>
        <w:rPr>
          <w:rFonts w:ascii="Arial" w:eastAsia="Times New Roman" w:hAnsi="Arial" w:cs="Arial"/>
          <w:lang w:eastAsia="es-ES"/>
        </w:rPr>
      </w:pPr>
      <w:r w:rsidRPr="002D4858">
        <w:rPr>
          <w:rFonts w:ascii="Arial" w:eastAsia="Times New Roman" w:hAnsi="Arial" w:cs="Arial"/>
          <w:lang w:eastAsia="es-ES"/>
        </w:rPr>
        <w:t xml:space="preserve">Los tribunales de </w:t>
      </w:r>
      <w:r w:rsidRPr="002D4858">
        <w:rPr>
          <w:rFonts w:ascii="Arial" w:eastAsia="Times New Roman" w:hAnsi="Arial" w:cs="Arial"/>
          <w:bCs/>
          <w:lang w:eastAsia="es-ES"/>
        </w:rPr>
        <w:t>Buenos Aires</w:t>
      </w:r>
      <w:r w:rsidRPr="002D4858">
        <w:rPr>
          <w:rFonts w:ascii="Arial" w:eastAsia="Times New Roman" w:hAnsi="Arial" w:cs="Arial"/>
          <w:lang w:eastAsia="es-ES"/>
        </w:rPr>
        <w:t xml:space="preserve"> suelen calificar la cláusula de parentesco como un supuesto típico de nulidad por abus</w:t>
      </w:r>
      <w:r w:rsidR="002A32A6" w:rsidRPr="002A32A6">
        <w:rPr>
          <w:rFonts w:ascii="Arial" w:eastAsia="Times New Roman" w:hAnsi="Arial" w:cs="Arial"/>
          <w:lang w:eastAsia="es-ES"/>
        </w:rPr>
        <w:t>o del derecho</w:t>
      </w:r>
      <w:r w:rsidRPr="002D4858">
        <w:rPr>
          <w:rFonts w:ascii="Arial" w:eastAsia="Times New Roman" w:hAnsi="Arial" w:cs="Arial"/>
          <w:lang w:eastAsia="es-ES"/>
        </w:rPr>
        <w:t xml:space="preserve"> (Art. 37, LDC), entendiendo que la presunción de riesgo </w:t>
      </w:r>
      <w:r w:rsidR="002A32A6" w:rsidRPr="002A32A6">
        <w:rPr>
          <w:rFonts w:ascii="Arial" w:eastAsia="Times New Roman" w:hAnsi="Arial" w:cs="Arial"/>
          <w:lang w:eastAsia="es-ES"/>
        </w:rPr>
        <w:t xml:space="preserve">moral, </w:t>
      </w:r>
      <w:r w:rsidRPr="002D4858">
        <w:rPr>
          <w:rFonts w:ascii="Arial" w:eastAsia="Times New Roman" w:hAnsi="Arial" w:cs="Arial"/>
          <w:lang w:eastAsia="es-ES"/>
        </w:rPr>
        <w:t xml:space="preserve"> no puede constituirse en una presunción </w:t>
      </w:r>
      <w:r w:rsidRPr="002D4858">
        <w:rPr>
          <w:rFonts w:ascii="Arial" w:eastAsia="Times New Roman" w:hAnsi="Arial" w:cs="Arial"/>
          <w:i/>
          <w:iCs/>
          <w:lang w:eastAsia="es-ES"/>
        </w:rPr>
        <w:t>iuris et de jure</w:t>
      </w:r>
      <w:r w:rsidRPr="002D4858">
        <w:rPr>
          <w:rFonts w:ascii="Arial" w:eastAsia="Times New Roman" w:hAnsi="Arial" w:cs="Arial"/>
          <w:lang w:eastAsia="es-ES"/>
        </w:rPr>
        <w:t xml:space="preserve"> que desnaturalice la finalidad esencial del seguro obligatorio de responsabilidad civil (Art. 68, Ley 24.449).</w:t>
      </w:r>
    </w:p>
    <w:p w:rsidR="002D4858" w:rsidRPr="002D4858" w:rsidRDefault="002D4858" w:rsidP="00CE3F13">
      <w:pPr>
        <w:spacing w:before="100" w:beforeAutospacing="1" w:after="100" w:afterAutospacing="1" w:line="240" w:lineRule="auto"/>
        <w:jc w:val="both"/>
        <w:rPr>
          <w:rFonts w:ascii="Arial" w:eastAsia="Times New Roman" w:hAnsi="Arial" w:cs="Arial"/>
          <w:lang w:eastAsia="es-ES"/>
        </w:rPr>
      </w:pPr>
      <w:r w:rsidRPr="002D4858">
        <w:rPr>
          <w:rFonts w:ascii="Arial" w:eastAsia="Times New Roman" w:hAnsi="Arial" w:cs="Arial"/>
          <w:lang w:eastAsia="es-ES"/>
        </w:rPr>
        <w:t xml:space="preserve">Los estrados de </w:t>
      </w:r>
      <w:r w:rsidRPr="002D4858">
        <w:rPr>
          <w:rFonts w:ascii="Arial" w:eastAsia="Times New Roman" w:hAnsi="Arial" w:cs="Arial"/>
          <w:bCs/>
          <w:lang w:eastAsia="es-ES"/>
        </w:rPr>
        <w:t>Capital Federal</w:t>
      </w:r>
      <w:r w:rsidRPr="002D4858">
        <w:rPr>
          <w:rFonts w:ascii="Arial" w:eastAsia="Times New Roman" w:hAnsi="Arial" w:cs="Arial"/>
          <w:lang w:eastAsia="es-ES"/>
        </w:rPr>
        <w:t>, en contrapartida, han argumentado con mayor frecuencia que la delimitación del riesgo aprobada por la Superintendencia de Seguros de la Nación (SSN) constituye una directiva de orden público administrativo que fija el contenido lícito del contrato. Desde esta perspectiva técnica, excluir a los parientes no implica una desnaturalización abusiva de las obligaciones, sino la fijación originaria del objeto asegurado, evitando trasladar al fondo común de primas de la mutualidad</w:t>
      </w:r>
      <w:r w:rsidR="002A32A6" w:rsidRPr="002A32A6">
        <w:rPr>
          <w:rFonts w:ascii="Arial" w:eastAsia="Times New Roman" w:hAnsi="Arial" w:cs="Arial"/>
          <w:lang w:eastAsia="es-ES"/>
        </w:rPr>
        <w:t xml:space="preserve"> riesgos ajenos a la cobertura </w:t>
      </w:r>
      <w:r w:rsidR="00E142DF">
        <w:rPr>
          <w:rFonts w:ascii="Arial" w:eastAsia="Times New Roman" w:hAnsi="Arial" w:cs="Arial"/>
          <w:lang w:eastAsia="es-ES"/>
        </w:rPr>
        <w:t>e</w:t>
      </w:r>
      <w:r w:rsidRPr="002D4858">
        <w:rPr>
          <w:rFonts w:ascii="Arial" w:eastAsia="Times New Roman" w:hAnsi="Arial" w:cs="Arial"/>
          <w:lang w:eastAsia="es-ES"/>
        </w:rPr>
        <w:t>stándar de responsabilidad civil extracontractual.</w:t>
      </w:r>
    </w:p>
    <w:p w:rsidR="002B4D3F" w:rsidRPr="002A32A6" w:rsidRDefault="002A32A6" w:rsidP="00CE3F13">
      <w:pPr>
        <w:spacing w:before="100" w:beforeAutospacing="1" w:after="100" w:afterAutospacing="1" w:line="240" w:lineRule="auto"/>
        <w:jc w:val="both"/>
        <w:rPr>
          <w:rFonts w:ascii="Arial" w:eastAsia="Times New Roman" w:hAnsi="Arial" w:cs="Arial"/>
          <w:b/>
          <w:lang w:eastAsia="es-ES"/>
        </w:rPr>
      </w:pPr>
      <w:r w:rsidRPr="002A32A6">
        <w:rPr>
          <w:rFonts w:ascii="Arial" w:eastAsia="Times New Roman" w:hAnsi="Arial" w:cs="Arial"/>
          <w:b/>
          <w:lang w:eastAsia="es-ES"/>
        </w:rPr>
        <w:t>DERECHO COMPARADO</w:t>
      </w:r>
    </w:p>
    <w:p w:rsidR="00E142DF" w:rsidRDefault="002A32A6" w:rsidP="00CE3F13">
      <w:pPr>
        <w:spacing w:before="100" w:beforeAutospacing="1" w:after="100" w:afterAutospacing="1" w:line="240" w:lineRule="auto"/>
        <w:jc w:val="both"/>
      </w:pPr>
      <w:r>
        <w:t>Un país</w:t>
      </w:r>
      <w:r w:rsidR="00E142DF">
        <w:t xml:space="preserve"> con el que compartimos profundas raíces dogmáticas y similitudes culturales que es</w:t>
      </w:r>
      <w:r>
        <w:t xml:space="preserve"> afín al nuestro tanto en costumbres como en la raíz del derecho es España, cuyo ordenamiento y evolución pretoriana en materia de circulación vehicular ofrecen un  valor comparativo para mensurar el alcance y los límites de la responsabilidad asegurativa frente al vínculo </w:t>
      </w:r>
      <w:proofErr w:type="gramStart"/>
      <w:r>
        <w:t xml:space="preserve">familiar </w:t>
      </w:r>
      <w:r w:rsidR="00E142DF">
        <w:t>.-</w:t>
      </w:r>
      <w:proofErr w:type="gramEnd"/>
    </w:p>
    <w:p w:rsidR="002A32A6" w:rsidRPr="00E142DF" w:rsidRDefault="00E142DF" w:rsidP="00CE3F13">
      <w:pPr>
        <w:spacing w:before="100" w:beforeAutospacing="1" w:after="100" w:afterAutospacing="1" w:line="240" w:lineRule="auto"/>
        <w:jc w:val="both"/>
        <w:rPr>
          <w:rFonts w:ascii="Arial" w:hAnsi="Arial" w:cs="Arial"/>
          <w:b/>
          <w:bCs/>
          <w:sz w:val="20"/>
          <w:szCs w:val="20"/>
        </w:rPr>
      </w:pPr>
      <w:r>
        <w:t xml:space="preserve">En </w:t>
      </w:r>
      <w:r w:rsidR="002A32A6">
        <w:t xml:space="preserve">España la ley y la jurisprudencia zanjan la cuestión mediante un criterio mixto: </w:t>
      </w:r>
      <w:r w:rsidR="002A32A6">
        <w:rPr>
          <w:b/>
          <w:bCs/>
        </w:rPr>
        <w:t xml:space="preserve">protección legal inquebrantable para los daños personales de los familiares, y admisión de la exclusión </w:t>
      </w:r>
      <w:r w:rsidR="002A32A6" w:rsidRPr="00E142DF">
        <w:rPr>
          <w:rFonts w:ascii="Arial" w:hAnsi="Arial" w:cs="Arial"/>
          <w:b/>
          <w:bCs/>
          <w:sz w:val="20"/>
          <w:szCs w:val="20"/>
        </w:rPr>
        <w:t>únicamente para los daños a los bienes materiales.</w:t>
      </w:r>
    </w:p>
    <w:p w:rsidR="00E142DF" w:rsidRPr="00E142DF" w:rsidRDefault="00E142DF" w:rsidP="00CE3F13">
      <w:pPr>
        <w:pStyle w:val="NormalWeb"/>
        <w:jc w:val="both"/>
        <w:rPr>
          <w:rFonts w:ascii="Arial" w:hAnsi="Arial" w:cs="Arial"/>
          <w:sz w:val="20"/>
          <w:szCs w:val="20"/>
        </w:rPr>
      </w:pPr>
      <w:r w:rsidRPr="00E142DF">
        <w:rPr>
          <w:rFonts w:ascii="Arial" w:hAnsi="Arial" w:cs="Arial"/>
          <w:sz w:val="20"/>
          <w:szCs w:val="20"/>
        </w:rPr>
        <w:t>El marco legal está fuertemente regulado por la Ley sobre Responsabilidad Civil y Seguro en la Circulación de Vehículos a Motor.</w:t>
      </w:r>
    </w:p>
    <w:p w:rsidR="00E142DF" w:rsidRPr="00E142DF" w:rsidRDefault="00E142DF" w:rsidP="00CE3F13">
      <w:pPr>
        <w:pStyle w:val="NormalWeb"/>
        <w:jc w:val="both"/>
        <w:rPr>
          <w:rFonts w:ascii="Arial" w:hAnsi="Arial" w:cs="Arial"/>
          <w:sz w:val="20"/>
          <w:szCs w:val="20"/>
        </w:rPr>
      </w:pPr>
      <w:r w:rsidRPr="00E142DF">
        <w:rPr>
          <w:rFonts w:ascii="Arial" w:hAnsi="Arial" w:cs="Arial"/>
          <w:sz w:val="20"/>
          <w:szCs w:val="20"/>
        </w:rPr>
        <w:t>El criterio imperante  es el siguiente:</w:t>
      </w:r>
    </w:p>
    <w:p w:rsidR="00E142DF" w:rsidRPr="00E142DF" w:rsidRDefault="00E142DF" w:rsidP="00CE3F13">
      <w:pPr>
        <w:pStyle w:val="NormalWeb"/>
        <w:jc w:val="both"/>
        <w:rPr>
          <w:rFonts w:ascii="Arial" w:hAnsi="Arial" w:cs="Arial"/>
          <w:sz w:val="20"/>
          <w:szCs w:val="20"/>
        </w:rPr>
      </w:pPr>
      <w:r w:rsidRPr="00E142DF">
        <w:rPr>
          <w:rStyle w:val="citation-18"/>
          <w:rFonts w:ascii="Arial" w:hAnsi="Arial" w:cs="Arial"/>
          <w:b/>
          <w:bCs/>
          <w:sz w:val="20"/>
          <w:szCs w:val="20"/>
        </w:rPr>
        <w:t>Inoponibilidad de la exclusión en daños a las personas (lesiones o muerte)</w:t>
      </w:r>
    </w:p>
    <w:p w:rsidR="00E142DF" w:rsidRPr="00E142DF" w:rsidRDefault="00E142DF" w:rsidP="00CE3F13">
      <w:pPr>
        <w:pStyle w:val="NormalWeb"/>
        <w:jc w:val="both"/>
        <w:rPr>
          <w:rFonts w:ascii="Arial" w:hAnsi="Arial" w:cs="Arial"/>
          <w:sz w:val="20"/>
          <w:szCs w:val="20"/>
        </w:rPr>
      </w:pPr>
      <w:r w:rsidRPr="00E142DF">
        <w:rPr>
          <w:rFonts w:ascii="Arial" w:hAnsi="Arial" w:cs="Arial"/>
          <w:sz w:val="20"/>
          <w:szCs w:val="20"/>
        </w:rPr>
        <w:t xml:space="preserve">Por mandato legal y jurisprudencial del Tribunal Supremo español, </w:t>
      </w:r>
      <w:r w:rsidRPr="00E142DF">
        <w:rPr>
          <w:rFonts w:ascii="Arial" w:hAnsi="Arial" w:cs="Arial"/>
          <w:b/>
          <w:bCs/>
          <w:sz w:val="20"/>
          <w:szCs w:val="20"/>
        </w:rPr>
        <w:t>el seguro obligatorio de automóviles cubre siempre los daños corporales</w:t>
      </w:r>
      <w:r w:rsidRPr="00E142DF">
        <w:rPr>
          <w:rFonts w:ascii="Arial" w:hAnsi="Arial" w:cs="Arial"/>
          <w:sz w:val="20"/>
          <w:szCs w:val="20"/>
        </w:rPr>
        <w:t xml:space="preserve"> sufridos por los ocupantes del vehículo, </w:t>
      </w:r>
      <w:r w:rsidRPr="00E142DF">
        <w:rPr>
          <w:rFonts w:ascii="Arial" w:hAnsi="Arial" w:cs="Arial"/>
          <w:b/>
          <w:bCs/>
          <w:sz w:val="20"/>
          <w:szCs w:val="20"/>
        </w:rPr>
        <w:t>incluso cuando estos sean familiares</w:t>
      </w:r>
      <w:r w:rsidRPr="00E142DF">
        <w:rPr>
          <w:rFonts w:ascii="Arial" w:hAnsi="Arial" w:cs="Arial"/>
          <w:sz w:val="20"/>
          <w:szCs w:val="20"/>
        </w:rPr>
        <w:t xml:space="preserve"> del conductor o del tomador del seguro. La ley de orden público protege la integridad física de las personas de forma absoluta, por lo que cualquier cláusula de una póliza privada que pretenda excluir a los parientes en caso de lesiones o fallecimiento es considerada nula e inoponible frente al perjudicado. El espíritu del sistema tuitivo europeo y español impide que el vínculo familiar sirva para desamparar a una víctima física de un accidente de tránsito. </w:t>
      </w:r>
    </w:p>
    <w:p w:rsidR="00E142DF" w:rsidRPr="00E142DF" w:rsidRDefault="00E142DF" w:rsidP="00CE3F13">
      <w:pPr>
        <w:pStyle w:val="NormalWeb"/>
        <w:jc w:val="both"/>
        <w:rPr>
          <w:rFonts w:ascii="Arial" w:hAnsi="Arial" w:cs="Arial"/>
          <w:sz w:val="20"/>
          <w:szCs w:val="20"/>
        </w:rPr>
      </w:pPr>
      <w:r w:rsidRPr="00E142DF">
        <w:rPr>
          <w:rStyle w:val="citation-17"/>
          <w:rFonts w:ascii="Arial" w:hAnsi="Arial" w:cs="Arial"/>
          <w:b/>
          <w:bCs/>
          <w:sz w:val="20"/>
          <w:szCs w:val="20"/>
        </w:rPr>
        <w:t>Validez de la exclusión en daños materiales:</w:t>
      </w:r>
    </w:p>
    <w:p w:rsidR="00E142DF" w:rsidRDefault="00E142DF" w:rsidP="00CE3F13">
      <w:pPr>
        <w:pStyle w:val="NormalWeb"/>
        <w:jc w:val="both"/>
        <w:rPr>
          <w:rFonts w:ascii="Arial" w:hAnsi="Arial" w:cs="Arial"/>
          <w:sz w:val="20"/>
          <w:szCs w:val="20"/>
        </w:rPr>
      </w:pPr>
      <w:r w:rsidRPr="00E142DF">
        <w:rPr>
          <w:rFonts w:ascii="Arial" w:hAnsi="Arial" w:cs="Arial"/>
          <w:sz w:val="20"/>
          <w:szCs w:val="20"/>
        </w:rPr>
        <w:t xml:space="preserve">A diferencia de los daños personales, la normativa española y la práctica de las aseguradoras </w:t>
      </w:r>
      <w:r w:rsidRPr="00E142DF">
        <w:rPr>
          <w:rFonts w:ascii="Arial" w:hAnsi="Arial" w:cs="Arial"/>
          <w:b/>
          <w:bCs/>
          <w:sz w:val="20"/>
          <w:szCs w:val="20"/>
        </w:rPr>
        <w:t xml:space="preserve">sí permiten y validan las cláusulas de exclusión por parentesco respecto a los daños en </w:t>
      </w:r>
      <w:r w:rsidRPr="00E142DF">
        <w:rPr>
          <w:rFonts w:ascii="Arial" w:hAnsi="Arial" w:cs="Arial"/>
          <w:b/>
          <w:bCs/>
          <w:sz w:val="20"/>
          <w:szCs w:val="20"/>
        </w:rPr>
        <w:lastRenderedPageBreak/>
        <w:t>los bienes</w:t>
      </w:r>
      <w:r w:rsidRPr="00E142DF">
        <w:rPr>
          <w:rFonts w:ascii="Arial" w:hAnsi="Arial" w:cs="Arial"/>
          <w:sz w:val="20"/>
          <w:szCs w:val="20"/>
        </w:rPr>
        <w:t xml:space="preserve"> (por ejemplo, si un padre choca el auto de su hijo o si se destruyen cosas propiedad del núcleo familiar transportadas en el rodado). En el ámbito estrictamente patrimonial o material, se entiende que la autonomía de la voluntad y la prevención del fraude (riesgo moral) operan legítimamente, evitando que los grupos familiares utilicen el seguro de automóviles como unos mecanismos de reparación de daños patrimoniales internos o recíprocos. </w:t>
      </w:r>
    </w:p>
    <w:p w:rsidR="005F0540" w:rsidRPr="00CE3F13" w:rsidRDefault="005F0540" w:rsidP="00CE3F13">
      <w:pPr>
        <w:pStyle w:val="NormalWeb"/>
        <w:jc w:val="both"/>
        <w:rPr>
          <w:rFonts w:ascii="Arial" w:hAnsi="Arial" w:cs="Arial"/>
          <w:b/>
          <w:sz w:val="20"/>
          <w:szCs w:val="20"/>
        </w:rPr>
      </w:pPr>
      <w:r w:rsidRPr="00CE3F13">
        <w:rPr>
          <w:rFonts w:ascii="Arial" w:hAnsi="Arial" w:cs="Arial"/>
          <w:b/>
          <w:sz w:val="20"/>
          <w:szCs w:val="20"/>
        </w:rPr>
        <w:t xml:space="preserve">CONCLUSION </w:t>
      </w:r>
    </w:p>
    <w:p w:rsidR="005F0540" w:rsidRPr="00CE3F13" w:rsidRDefault="005F0540" w:rsidP="00CE3F13">
      <w:pPr>
        <w:pStyle w:val="NormalWeb"/>
        <w:jc w:val="both"/>
        <w:rPr>
          <w:rFonts w:ascii="Arial" w:hAnsi="Arial" w:cs="Arial"/>
          <w:sz w:val="20"/>
          <w:szCs w:val="20"/>
        </w:rPr>
      </w:pPr>
      <w:r w:rsidRPr="00CE3F13">
        <w:rPr>
          <w:rFonts w:ascii="Arial" w:hAnsi="Arial" w:cs="Arial"/>
          <w:sz w:val="20"/>
          <w:szCs w:val="20"/>
        </w:rPr>
        <w:t xml:space="preserve">La exclusión de cobertura invocada por las compañías de seguros en casos de daños físicos sufridos por parientes en accidentes automovilísticos profundiza la incertidumbre legal, ya que la validez de estas cláusulas restrictivas queda supeditada a los diversos y contrapuestos criterios judiciales que adoptan los tribunales. </w:t>
      </w:r>
    </w:p>
    <w:p w:rsidR="005F0540" w:rsidRPr="00CE3F13" w:rsidRDefault="005F0540" w:rsidP="00CE3F13">
      <w:pPr>
        <w:pStyle w:val="NormalWeb"/>
        <w:jc w:val="both"/>
        <w:rPr>
          <w:rFonts w:ascii="Arial" w:hAnsi="Arial" w:cs="Arial"/>
          <w:sz w:val="20"/>
          <w:szCs w:val="20"/>
        </w:rPr>
      </w:pPr>
      <w:r w:rsidRPr="00CE3F13">
        <w:rPr>
          <w:rFonts w:ascii="Arial" w:hAnsi="Arial" w:cs="Arial"/>
          <w:sz w:val="20"/>
          <w:szCs w:val="20"/>
        </w:rPr>
        <w:t>Mientras que algunos magistrados interpretan que estas limitaciones contractuales vulneran los principios de orden público y la protección integral de la víctima consagrados en la legislación de seguros y de defensa del consumidor, otros respaldan la autonomía de la voluntad de las partes plasmada en la póliza, dejando al arbitrio de la interpretación jurisprudencial si el damnificado familiar quedará totalmente desamparado o si la aseguradora deberá responder patrimonialmente.</w:t>
      </w:r>
    </w:p>
    <w:p w:rsidR="005F0540" w:rsidRPr="00CE3F13" w:rsidRDefault="005F0540" w:rsidP="00CE3F13">
      <w:pPr>
        <w:pStyle w:val="NormalWeb"/>
        <w:jc w:val="both"/>
        <w:rPr>
          <w:rFonts w:ascii="Arial" w:hAnsi="Arial" w:cs="Arial"/>
          <w:sz w:val="20"/>
          <w:szCs w:val="20"/>
        </w:rPr>
      </w:pPr>
      <w:r w:rsidRPr="00CE3F13">
        <w:rPr>
          <w:rFonts w:ascii="Arial" w:hAnsi="Arial" w:cs="Arial"/>
          <w:sz w:val="20"/>
          <w:szCs w:val="20"/>
        </w:rPr>
        <w:t xml:space="preserve">Por ello sería importante una reforma legislativa y adoptar </w:t>
      </w:r>
      <w:r w:rsidRPr="005F0540">
        <w:rPr>
          <w:rFonts w:ascii="Arial" w:hAnsi="Arial" w:cs="Arial"/>
          <w:sz w:val="20"/>
          <w:szCs w:val="20"/>
        </w:rPr>
        <w:t xml:space="preserve"> un sistema de carácter mixto inspirado en la legislación española</w:t>
      </w:r>
      <w:r w:rsidRPr="00CE3F13">
        <w:rPr>
          <w:rFonts w:ascii="Arial" w:hAnsi="Arial" w:cs="Arial"/>
          <w:sz w:val="20"/>
          <w:szCs w:val="20"/>
        </w:rPr>
        <w:t>, e</w:t>
      </w:r>
      <w:r w:rsidRPr="005F0540">
        <w:rPr>
          <w:rFonts w:ascii="Arial" w:hAnsi="Arial" w:cs="Arial"/>
          <w:sz w:val="20"/>
          <w:szCs w:val="20"/>
        </w:rPr>
        <w:t>l cual convalida la exclusión de cobertura por parentesco exclusivamente para los daños patrimoniales o materiales, pero declara imperativamente inoponible dicha cláusula frente a los daños personales (lesiones o muerte)</w:t>
      </w:r>
      <w:r w:rsidRPr="00CE3F13">
        <w:rPr>
          <w:rFonts w:ascii="Arial" w:hAnsi="Arial" w:cs="Arial"/>
          <w:sz w:val="20"/>
          <w:szCs w:val="20"/>
        </w:rPr>
        <w:t>.</w:t>
      </w:r>
    </w:p>
    <w:p w:rsidR="005F0540" w:rsidRPr="00CE3F13" w:rsidRDefault="005F0540" w:rsidP="00CE3F13">
      <w:pPr>
        <w:spacing w:before="100" w:beforeAutospacing="1" w:after="100" w:afterAutospacing="1" w:line="240" w:lineRule="auto"/>
        <w:jc w:val="both"/>
        <w:rPr>
          <w:rFonts w:ascii="Arial" w:eastAsia="Times New Roman" w:hAnsi="Arial" w:cs="Arial"/>
          <w:b/>
          <w:bCs/>
          <w:sz w:val="20"/>
          <w:szCs w:val="20"/>
          <w:lang w:eastAsia="es-ES"/>
        </w:rPr>
      </w:pPr>
      <w:r w:rsidRPr="005F0540">
        <w:rPr>
          <w:rFonts w:ascii="Arial" w:eastAsia="Times New Roman" w:hAnsi="Arial" w:cs="Arial"/>
          <w:sz w:val="20"/>
          <w:szCs w:val="20"/>
          <w:lang w:eastAsia="es-ES"/>
        </w:rPr>
        <w:t>Esta alternativa intermedia permite conciliar armónicamente los intereses leg</w:t>
      </w:r>
      <w:r w:rsidRPr="00CE3F13">
        <w:rPr>
          <w:rFonts w:ascii="Arial" w:eastAsia="Times New Roman" w:hAnsi="Arial" w:cs="Arial"/>
          <w:sz w:val="20"/>
          <w:szCs w:val="20"/>
          <w:lang w:eastAsia="es-ES"/>
        </w:rPr>
        <w:t xml:space="preserve">ítimos de ambas partes en pugna, por un lado para las compañías de seguros consagrando la libertad en la </w:t>
      </w:r>
      <w:r w:rsidRPr="005F0540">
        <w:rPr>
          <w:rFonts w:ascii="Arial" w:eastAsia="Times New Roman" w:hAnsi="Arial" w:cs="Arial"/>
          <w:b/>
          <w:bCs/>
          <w:sz w:val="20"/>
          <w:szCs w:val="20"/>
          <w:lang w:eastAsia="es-ES"/>
        </w:rPr>
        <w:t xml:space="preserve"> técnica aseguradora y la autonomía actuarial</w:t>
      </w:r>
      <w:r w:rsidRPr="00CE3F13">
        <w:rPr>
          <w:rFonts w:ascii="Arial" w:eastAsia="Times New Roman" w:hAnsi="Arial" w:cs="Arial"/>
          <w:b/>
          <w:bCs/>
          <w:sz w:val="20"/>
          <w:szCs w:val="20"/>
          <w:lang w:eastAsia="es-ES"/>
        </w:rPr>
        <w:t>.</w:t>
      </w:r>
    </w:p>
    <w:p w:rsidR="005F0540" w:rsidRPr="00CE3F13" w:rsidRDefault="005F0540" w:rsidP="00CE3F13">
      <w:pPr>
        <w:spacing w:before="100" w:beforeAutospacing="1" w:after="100" w:afterAutospacing="1" w:line="240" w:lineRule="auto"/>
        <w:jc w:val="both"/>
        <w:rPr>
          <w:rFonts w:ascii="Arial" w:eastAsia="Times New Roman" w:hAnsi="Arial" w:cs="Arial"/>
          <w:sz w:val="20"/>
          <w:szCs w:val="20"/>
          <w:lang w:eastAsia="es-ES"/>
        </w:rPr>
      </w:pPr>
      <w:r w:rsidRPr="005F0540">
        <w:rPr>
          <w:rFonts w:ascii="Arial" w:eastAsia="Times New Roman" w:hAnsi="Arial" w:cs="Arial"/>
          <w:sz w:val="20"/>
          <w:szCs w:val="20"/>
          <w:lang w:eastAsia="es-ES"/>
        </w:rPr>
        <w:t xml:space="preserve"> Se resguarda la ecuación económico-financiera de las entidades aseguradoras y se preserva la función de prevención del fraude  en aquellos supuestos donde la autonomía de la voluntad opera sin afectar derechos personalísimos, permitiendo que la exclusión mantenga plena validez en los daños a las cosas o bienes dentro del núcleo familiar.</w:t>
      </w:r>
    </w:p>
    <w:p w:rsidR="005F0540" w:rsidRPr="005F0540" w:rsidRDefault="005F0540" w:rsidP="00CE3F13">
      <w:pPr>
        <w:spacing w:before="100" w:beforeAutospacing="1" w:after="100" w:afterAutospacing="1" w:line="240" w:lineRule="auto"/>
        <w:jc w:val="both"/>
        <w:rPr>
          <w:rFonts w:ascii="Arial" w:eastAsia="Times New Roman" w:hAnsi="Arial" w:cs="Arial"/>
          <w:sz w:val="20"/>
          <w:szCs w:val="20"/>
          <w:lang w:eastAsia="es-ES"/>
        </w:rPr>
      </w:pPr>
      <w:r w:rsidRPr="00CE3F13">
        <w:rPr>
          <w:rFonts w:ascii="Arial" w:eastAsia="Times New Roman" w:hAnsi="Arial" w:cs="Arial"/>
          <w:sz w:val="20"/>
          <w:szCs w:val="20"/>
          <w:lang w:eastAsia="es-ES"/>
        </w:rPr>
        <w:t xml:space="preserve">Por otro lado preserva el </w:t>
      </w:r>
      <w:r w:rsidRPr="005F0540">
        <w:rPr>
          <w:rFonts w:ascii="Arial" w:eastAsia="Times New Roman" w:hAnsi="Arial" w:cs="Arial"/>
          <w:b/>
          <w:bCs/>
          <w:sz w:val="20"/>
          <w:szCs w:val="20"/>
          <w:lang w:eastAsia="es-ES"/>
        </w:rPr>
        <w:t xml:space="preserve"> orden público tuitivo y constitucional</w:t>
      </w:r>
      <w:r w:rsidRPr="005F0540">
        <w:rPr>
          <w:rFonts w:ascii="Arial" w:eastAsia="Times New Roman" w:hAnsi="Arial" w:cs="Arial"/>
          <w:sz w:val="20"/>
          <w:szCs w:val="20"/>
          <w:lang w:eastAsia="es-ES"/>
        </w:rPr>
        <w:t xml:space="preserve"> </w:t>
      </w:r>
      <w:r w:rsidR="00CE3F13" w:rsidRPr="00CE3F13">
        <w:rPr>
          <w:rFonts w:ascii="Arial" w:eastAsia="Times New Roman" w:hAnsi="Arial" w:cs="Arial"/>
          <w:sz w:val="20"/>
          <w:szCs w:val="20"/>
          <w:lang w:eastAsia="es-ES"/>
        </w:rPr>
        <w:t>al</w:t>
      </w:r>
      <w:r w:rsidRPr="005F0540">
        <w:rPr>
          <w:rFonts w:ascii="Arial" w:eastAsia="Times New Roman" w:hAnsi="Arial" w:cs="Arial"/>
          <w:sz w:val="20"/>
          <w:szCs w:val="20"/>
          <w:lang w:eastAsia="es-ES"/>
        </w:rPr>
        <w:t xml:space="preserve"> garantiza</w:t>
      </w:r>
      <w:r w:rsidR="00CE3F13" w:rsidRPr="00CE3F13">
        <w:rPr>
          <w:rFonts w:ascii="Arial" w:eastAsia="Times New Roman" w:hAnsi="Arial" w:cs="Arial"/>
          <w:sz w:val="20"/>
          <w:szCs w:val="20"/>
          <w:lang w:eastAsia="es-ES"/>
        </w:rPr>
        <w:t>r</w:t>
      </w:r>
      <w:r w:rsidRPr="005F0540">
        <w:rPr>
          <w:rFonts w:ascii="Arial" w:eastAsia="Times New Roman" w:hAnsi="Arial" w:cs="Arial"/>
          <w:sz w:val="20"/>
          <w:szCs w:val="20"/>
          <w:lang w:eastAsia="es-ES"/>
        </w:rPr>
        <w:t xml:space="preserve"> la primacía del principio de reparación integral, el derecho a la indemnidad de las víctimas y la finalidad social del seguro obligatorio de responsabilidad civil (Art. 68, Ley 24.449), impidiendo que un vínculo de parentesco se convierta en un vallado injusto para desamparar la vida o la integridad física de las personas ante un siniestro vial.</w:t>
      </w:r>
    </w:p>
    <w:p w:rsidR="00CE3F13" w:rsidRPr="00CE3F13" w:rsidRDefault="005F0540" w:rsidP="00CE3F13">
      <w:pPr>
        <w:spacing w:before="100" w:beforeAutospacing="1" w:after="100" w:afterAutospacing="1" w:line="240" w:lineRule="auto"/>
        <w:jc w:val="both"/>
        <w:rPr>
          <w:rFonts w:ascii="Arial" w:eastAsia="Times New Roman" w:hAnsi="Arial" w:cs="Arial"/>
          <w:sz w:val="20"/>
          <w:szCs w:val="20"/>
          <w:lang w:eastAsia="es-ES"/>
        </w:rPr>
      </w:pPr>
      <w:r w:rsidRPr="005F0540">
        <w:rPr>
          <w:rFonts w:ascii="Arial" w:eastAsia="Times New Roman" w:hAnsi="Arial" w:cs="Arial"/>
          <w:sz w:val="20"/>
          <w:szCs w:val="20"/>
          <w:lang w:eastAsia="es-ES"/>
        </w:rPr>
        <w:t xml:space="preserve">De este modo, se superaría la rigidez de los criterios restrictivos vigentes en ciertos fueros y se zanjaría la colisión interpretativa con el </w:t>
      </w:r>
      <w:r w:rsidR="00CE3F13" w:rsidRPr="00CE3F13">
        <w:rPr>
          <w:rFonts w:ascii="Arial" w:eastAsia="Times New Roman" w:hAnsi="Arial" w:cs="Arial"/>
          <w:sz w:val="20"/>
          <w:szCs w:val="20"/>
          <w:lang w:eastAsia="es-ES"/>
        </w:rPr>
        <w:t>micro régimen</w:t>
      </w:r>
      <w:r w:rsidRPr="005F0540">
        <w:rPr>
          <w:rFonts w:ascii="Arial" w:eastAsia="Times New Roman" w:hAnsi="Arial" w:cs="Arial"/>
          <w:sz w:val="20"/>
          <w:szCs w:val="20"/>
          <w:lang w:eastAsia="es-ES"/>
        </w:rPr>
        <w:t xml:space="preserve"> de defensa del consumidor (Ley 24.240), permitiendo que las primas se calculen contemplando técnicamente el riesgo por daños corporales a </w:t>
      </w:r>
      <w:r w:rsidR="00CE3F13" w:rsidRPr="00CE3F13">
        <w:rPr>
          <w:rFonts w:ascii="Arial" w:eastAsia="Times New Roman" w:hAnsi="Arial" w:cs="Arial"/>
          <w:sz w:val="20"/>
          <w:szCs w:val="20"/>
          <w:lang w:eastAsia="es-ES"/>
        </w:rPr>
        <w:t xml:space="preserve">terceros, sin la </w:t>
      </w:r>
      <w:r w:rsidRPr="005F0540">
        <w:rPr>
          <w:rFonts w:ascii="Arial" w:eastAsia="Times New Roman" w:hAnsi="Arial" w:cs="Arial"/>
          <w:sz w:val="20"/>
          <w:szCs w:val="20"/>
          <w:lang w:eastAsia="es-ES"/>
        </w:rPr>
        <w:t xml:space="preserve"> distinción de vínculos f</w:t>
      </w:r>
      <w:r w:rsidR="00CE3F13" w:rsidRPr="00CE3F13">
        <w:rPr>
          <w:rFonts w:ascii="Arial" w:eastAsia="Times New Roman" w:hAnsi="Arial" w:cs="Arial"/>
          <w:sz w:val="20"/>
          <w:szCs w:val="20"/>
          <w:lang w:eastAsia="es-ES"/>
        </w:rPr>
        <w:t xml:space="preserve">amiliares </w:t>
      </w:r>
      <w:r w:rsidRPr="005F0540">
        <w:rPr>
          <w:rFonts w:ascii="Arial" w:eastAsia="Times New Roman" w:hAnsi="Arial" w:cs="Arial"/>
          <w:sz w:val="20"/>
          <w:szCs w:val="20"/>
          <w:lang w:eastAsia="es-ES"/>
        </w:rPr>
        <w:t>y dotando al sistema de una previsible y justa armonía entre la técnica contractual y la tutela de los derechos humanos fundamentales.</w:t>
      </w:r>
      <w:r w:rsidR="00CE3F13" w:rsidRPr="00CE3F13">
        <w:rPr>
          <w:rFonts w:ascii="Arial" w:eastAsia="Times New Roman" w:hAnsi="Arial" w:cs="Arial"/>
          <w:sz w:val="20"/>
          <w:szCs w:val="20"/>
          <w:lang w:eastAsia="es-ES"/>
        </w:rPr>
        <w:t xml:space="preserve"> </w:t>
      </w:r>
    </w:p>
    <w:p w:rsidR="005F0540" w:rsidRPr="005F0540" w:rsidRDefault="00CE3F13" w:rsidP="00CE3F13">
      <w:pPr>
        <w:spacing w:before="100" w:beforeAutospacing="1" w:after="100" w:afterAutospacing="1" w:line="240" w:lineRule="auto"/>
        <w:jc w:val="both"/>
        <w:rPr>
          <w:rFonts w:ascii="Times New Roman" w:eastAsia="Times New Roman" w:hAnsi="Times New Roman" w:cs="Times New Roman"/>
          <w:sz w:val="16"/>
          <w:szCs w:val="16"/>
          <w:lang w:eastAsia="es-ES"/>
        </w:rPr>
      </w:pPr>
      <w:r w:rsidRPr="00FB22B3">
        <w:rPr>
          <w:rFonts w:ascii="Arial" w:hAnsi="Arial" w:cs="Arial"/>
          <w:color w:val="000000" w:themeColor="text1"/>
          <w:sz w:val="18"/>
          <w:szCs w:val="18"/>
        </w:rPr>
        <w:t xml:space="preserve"> </w:t>
      </w:r>
      <w:r w:rsidRPr="00CE3F13">
        <w:rPr>
          <w:rFonts w:ascii="Arial" w:hAnsi="Arial" w:cs="Arial"/>
          <w:color w:val="000000" w:themeColor="text1"/>
          <w:sz w:val="16"/>
          <w:szCs w:val="16"/>
        </w:rPr>
        <w:t xml:space="preserve">Breve reseña por </w:t>
      </w:r>
      <w:r w:rsidRPr="00CE3F13">
        <w:rPr>
          <w:rFonts w:ascii="Arial" w:hAnsi="Arial" w:cs="Arial"/>
          <w:color w:val="000000" w:themeColor="text1"/>
          <w:sz w:val="16"/>
          <w:szCs w:val="16"/>
        </w:rPr>
        <w:t>Ester PAVON (esterpavon@yahoo.com.ar)</w:t>
      </w:r>
    </w:p>
    <w:p w:rsidR="00E142DF" w:rsidRPr="00CE3F13" w:rsidRDefault="00E142DF" w:rsidP="00CE3F13">
      <w:pPr>
        <w:spacing w:before="100" w:beforeAutospacing="1" w:after="100" w:afterAutospacing="1" w:line="240" w:lineRule="auto"/>
        <w:jc w:val="both"/>
        <w:rPr>
          <w:rFonts w:ascii="Arial" w:eastAsia="Times New Roman" w:hAnsi="Arial" w:cs="Arial"/>
          <w:sz w:val="16"/>
          <w:szCs w:val="16"/>
          <w:lang w:eastAsia="es-ES"/>
        </w:rPr>
      </w:pPr>
    </w:p>
    <w:sectPr w:rsidR="00E142DF" w:rsidRPr="00CE3F13" w:rsidSect="00D96520">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20448"/>
    <w:multiLevelType w:val="multilevel"/>
    <w:tmpl w:val="C112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73EA4"/>
    <w:multiLevelType w:val="multilevel"/>
    <w:tmpl w:val="D26C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2C2411"/>
    <w:multiLevelType w:val="multilevel"/>
    <w:tmpl w:val="9116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065B1D"/>
    <w:multiLevelType w:val="multilevel"/>
    <w:tmpl w:val="7FA8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F16340"/>
    <w:multiLevelType w:val="multilevel"/>
    <w:tmpl w:val="CBE8F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A4713B"/>
    <w:multiLevelType w:val="multilevel"/>
    <w:tmpl w:val="5E3C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540978"/>
    <w:multiLevelType w:val="multilevel"/>
    <w:tmpl w:val="01B2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886E42"/>
    <w:multiLevelType w:val="multilevel"/>
    <w:tmpl w:val="4B34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F82758"/>
    <w:multiLevelType w:val="multilevel"/>
    <w:tmpl w:val="1CAC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715870"/>
    <w:multiLevelType w:val="multilevel"/>
    <w:tmpl w:val="0908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0F0150"/>
    <w:multiLevelType w:val="multilevel"/>
    <w:tmpl w:val="F6C6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1B2EDA"/>
    <w:multiLevelType w:val="multilevel"/>
    <w:tmpl w:val="5FEA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153A5C"/>
    <w:multiLevelType w:val="multilevel"/>
    <w:tmpl w:val="3308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7"/>
  </w:num>
  <w:num w:numId="4">
    <w:abstractNumId w:val="8"/>
  </w:num>
  <w:num w:numId="5">
    <w:abstractNumId w:val="5"/>
  </w:num>
  <w:num w:numId="6">
    <w:abstractNumId w:val="3"/>
  </w:num>
  <w:num w:numId="7">
    <w:abstractNumId w:val="6"/>
  </w:num>
  <w:num w:numId="8">
    <w:abstractNumId w:val="0"/>
  </w:num>
  <w:num w:numId="9">
    <w:abstractNumId w:val="2"/>
  </w:num>
  <w:num w:numId="10">
    <w:abstractNumId w:val="1"/>
  </w:num>
  <w:num w:numId="11">
    <w:abstractNumId w:val="9"/>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A7"/>
    <w:rsid w:val="000029A1"/>
    <w:rsid w:val="00052E58"/>
    <w:rsid w:val="002A32A6"/>
    <w:rsid w:val="002B4D3F"/>
    <w:rsid w:val="002B6584"/>
    <w:rsid w:val="002D4858"/>
    <w:rsid w:val="00301A82"/>
    <w:rsid w:val="004A2344"/>
    <w:rsid w:val="004D7B4E"/>
    <w:rsid w:val="00551CA7"/>
    <w:rsid w:val="005F0540"/>
    <w:rsid w:val="006D0A1D"/>
    <w:rsid w:val="006E5BC0"/>
    <w:rsid w:val="00780086"/>
    <w:rsid w:val="0089346F"/>
    <w:rsid w:val="00AF450E"/>
    <w:rsid w:val="00CE3F13"/>
    <w:rsid w:val="00D96520"/>
    <w:rsid w:val="00E14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D7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551CA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51CA7"/>
    <w:rPr>
      <w:rFonts w:ascii="Times New Roman" w:eastAsia="Times New Roman" w:hAnsi="Times New Roman" w:cs="Times New Roman"/>
      <w:b/>
      <w:bCs/>
      <w:sz w:val="27"/>
      <w:szCs w:val="27"/>
      <w:lang w:eastAsia="es-ES"/>
    </w:rPr>
  </w:style>
  <w:style w:type="paragraph" w:styleId="NormalWeb">
    <w:name w:val="Normal (Web)"/>
    <w:basedOn w:val="Normal"/>
    <w:uiPriority w:val="99"/>
    <w:unhideWhenUsed/>
    <w:rsid w:val="00551CA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itation-23">
    <w:name w:val="citation-23"/>
    <w:basedOn w:val="Fuentedeprrafopredeter"/>
    <w:rsid w:val="00551CA7"/>
  </w:style>
  <w:style w:type="character" w:customStyle="1" w:styleId="citation-22">
    <w:name w:val="citation-22"/>
    <w:basedOn w:val="Fuentedeprrafopredeter"/>
    <w:rsid w:val="00551CA7"/>
  </w:style>
  <w:style w:type="character" w:customStyle="1" w:styleId="citation-21">
    <w:name w:val="citation-21"/>
    <w:basedOn w:val="Fuentedeprrafopredeter"/>
    <w:rsid w:val="00551CA7"/>
  </w:style>
  <w:style w:type="character" w:customStyle="1" w:styleId="citation-20">
    <w:name w:val="citation-20"/>
    <w:basedOn w:val="Fuentedeprrafopredeter"/>
    <w:rsid w:val="00551CA7"/>
  </w:style>
  <w:style w:type="character" w:customStyle="1" w:styleId="metadata-value">
    <w:name w:val="metadata-value"/>
    <w:basedOn w:val="Fuentedeprrafopredeter"/>
    <w:rsid w:val="004D7B4E"/>
  </w:style>
  <w:style w:type="character" w:customStyle="1" w:styleId="metadata-label">
    <w:name w:val="metadata-label"/>
    <w:basedOn w:val="Fuentedeprrafopredeter"/>
    <w:rsid w:val="004D7B4E"/>
  </w:style>
  <w:style w:type="character" w:customStyle="1" w:styleId="Ttulo1Car">
    <w:name w:val="Título 1 Car"/>
    <w:basedOn w:val="Fuentedeprrafopredeter"/>
    <w:link w:val="Ttulo1"/>
    <w:uiPriority w:val="9"/>
    <w:rsid w:val="004D7B4E"/>
    <w:rPr>
      <w:rFonts w:asciiTheme="majorHAnsi" w:eastAsiaTheme="majorEastAsia" w:hAnsiTheme="majorHAnsi" w:cstheme="majorBidi"/>
      <w:b/>
      <w:bCs/>
      <w:color w:val="365F91" w:themeColor="accent1" w:themeShade="BF"/>
      <w:sz w:val="28"/>
      <w:szCs w:val="28"/>
    </w:rPr>
  </w:style>
  <w:style w:type="character" w:customStyle="1" w:styleId="citation-111">
    <w:name w:val="citation-111"/>
    <w:basedOn w:val="Fuentedeprrafopredeter"/>
    <w:rsid w:val="00052E58"/>
  </w:style>
  <w:style w:type="character" w:customStyle="1" w:styleId="source-title">
    <w:name w:val="source-title"/>
    <w:basedOn w:val="Fuentedeprrafopredeter"/>
    <w:rsid w:val="00052E58"/>
  </w:style>
  <w:style w:type="character" w:customStyle="1" w:styleId="citation-110">
    <w:name w:val="citation-110"/>
    <w:basedOn w:val="Fuentedeprrafopredeter"/>
    <w:rsid w:val="00052E58"/>
  </w:style>
  <w:style w:type="character" w:customStyle="1" w:styleId="citation-109">
    <w:name w:val="citation-109"/>
    <w:basedOn w:val="Fuentedeprrafopredeter"/>
    <w:rsid w:val="00052E58"/>
  </w:style>
  <w:style w:type="character" w:customStyle="1" w:styleId="citation-5">
    <w:name w:val="citation-5"/>
    <w:basedOn w:val="Fuentedeprrafopredeter"/>
    <w:rsid w:val="002B4D3F"/>
  </w:style>
  <w:style w:type="character" w:customStyle="1" w:styleId="citation-18">
    <w:name w:val="citation-18"/>
    <w:basedOn w:val="Fuentedeprrafopredeter"/>
    <w:rsid w:val="00E142DF"/>
  </w:style>
  <w:style w:type="character" w:customStyle="1" w:styleId="citation-17">
    <w:name w:val="citation-17"/>
    <w:basedOn w:val="Fuentedeprrafopredeter"/>
    <w:rsid w:val="00E142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D7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551CA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51CA7"/>
    <w:rPr>
      <w:rFonts w:ascii="Times New Roman" w:eastAsia="Times New Roman" w:hAnsi="Times New Roman" w:cs="Times New Roman"/>
      <w:b/>
      <w:bCs/>
      <w:sz w:val="27"/>
      <w:szCs w:val="27"/>
      <w:lang w:eastAsia="es-ES"/>
    </w:rPr>
  </w:style>
  <w:style w:type="paragraph" w:styleId="NormalWeb">
    <w:name w:val="Normal (Web)"/>
    <w:basedOn w:val="Normal"/>
    <w:uiPriority w:val="99"/>
    <w:unhideWhenUsed/>
    <w:rsid w:val="00551CA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itation-23">
    <w:name w:val="citation-23"/>
    <w:basedOn w:val="Fuentedeprrafopredeter"/>
    <w:rsid w:val="00551CA7"/>
  </w:style>
  <w:style w:type="character" w:customStyle="1" w:styleId="citation-22">
    <w:name w:val="citation-22"/>
    <w:basedOn w:val="Fuentedeprrafopredeter"/>
    <w:rsid w:val="00551CA7"/>
  </w:style>
  <w:style w:type="character" w:customStyle="1" w:styleId="citation-21">
    <w:name w:val="citation-21"/>
    <w:basedOn w:val="Fuentedeprrafopredeter"/>
    <w:rsid w:val="00551CA7"/>
  </w:style>
  <w:style w:type="character" w:customStyle="1" w:styleId="citation-20">
    <w:name w:val="citation-20"/>
    <w:basedOn w:val="Fuentedeprrafopredeter"/>
    <w:rsid w:val="00551CA7"/>
  </w:style>
  <w:style w:type="character" w:customStyle="1" w:styleId="metadata-value">
    <w:name w:val="metadata-value"/>
    <w:basedOn w:val="Fuentedeprrafopredeter"/>
    <w:rsid w:val="004D7B4E"/>
  </w:style>
  <w:style w:type="character" w:customStyle="1" w:styleId="metadata-label">
    <w:name w:val="metadata-label"/>
    <w:basedOn w:val="Fuentedeprrafopredeter"/>
    <w:rsid w:val="004D7B4E"/>
  </w:style>
  <w:style w:type="character" w:customStyle="1" w:styleId="Ttulo1Car">
    <w:name w:val="Título 1 Car"/>
    <w:basedOn w:val="Fuentedeprrafopredeter"/>
    <w:link w:val="Ttulo1"/>
    <w:uiPriority w:val="9"/>
    <w:rsid w:val="004D7B4E"/>
    <w:rPr>
      <w:rFonts w:asciiTheme="majorHAnsi" w:eastAsiaTheme="majorEastAsia" w:hAnsiTheme="majorHAnsi" w:cstheme="majorBidi"/>
      <w:b/>
      <w:bCs/>
      <w:color w:val="365F91" w:themeColor="accent1" w:themeShade="BF"/>
      <w:sz w:val="28"/>
      <w:szCs w:val="28"/>
    </w:rPr>
  </w:style>
  <w:style w:type="character" w:customStyle="1" w:styleId="citation-111">
    <w:name w:val="citation-111"/>
    <w:basedOn w:val="Fuentedeprrafopredeter"/>
    <w:rsid w:val="00052E58"/>
  </w:style>
  <w:style w:type="character" w:customStyle="1" w:styleId="source-title">
    <w:name w:val="source-title"/>
    <w:basedOn w:val="Fuentedeprrafopredeter"/>
    <w:rsid w:val="00052E58"/>
  </w:style>
  <w:style w:type="character" w:customStyle="1" w:styleId="citation-110">
    <w:name w:val="citation-110"/>
    <w:basedOn w:val="Fuentedeprrafopredeter"/>
    <w:rsid w:val="00052E58"/>
  </w:style>
  <w:style w:type="character" w:customStyle="1" w:styleId="citation-109">
    <w:name w:val="citation-109"/>
    <w:basedOn w:val="Fuentedeprrafopredeter"/>
    <w:rsid w:val="00052E58"/>
  </w:style>
  <w:style w:type="character" w:customStyle="1" w:styleId="citation-5">
    <w:name w:val="citation-5"/>
    <w:basedOn w:val="Fuentedeprrafopredeter"/>
    <w:rsid w:val="002B4D3F"/>
  </w:style>
  <w:style w:type="character" w:customStyle="1" w:styleId="citation-18">
    <w:name w:val="citation-18"/>
    <w:basedOn w:val="Fuentedeprrafopredeter"/>
    <w:rsid w:val="00E142DF"/>
  </w:style>
  <w:style w:type="character" w:customStyle="1" w:styleId="citation-17">
    <w:name w:val="citation-17"/>
    <w:basedOn w:val="Fuentedeprrafopredeter"/>
    <w:rsid w:val="00E14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4884">
      <w:bodyDiv w:val="1"/>
      <w:marLeft w:val="0"/>
      <w:marRight w:val="0"/>
      <w:marTop w:val="0"/>
      <w:marBottom w:val="0"/>
      <w:divBdr>
        <w:top w:val="none" w:sz="0" w:space="0" w:color="auto"/>
        <w:left w:val="none" w:sz="0" w:space="0" w:color="auto"/>
        <w:bottom w:val="none" w:sz="0" w:space="0" w:color="auto"/>
        <w:right w:val="none" w:sz="0" w:space="0" w:color="auto"/>
      </w:divBdr>
    </w:div>
    <w:div w:id="179634621">
      <w:bodyDiv w:val="1"/>
      <w:marLeft w:val="0"/>
      <w:marRight w:val="0"/>
      <w:marTop w:val="0"/>
      <w:marBottom w:val="0"/>
      <w:divBdr>
        <w:top w:val="none" w:sz="0" w:space="0" w:color="auto"/>
        <w:left w:val="none" w:sz="0" w:space="0" w:color="auto"/>
        <w:bottom w:val="none" w:sz="0" w:space="0" w:color="auto"/>
        <w:right w:val="none" w:sz="0" w:space="0" w:color="auto"/>
      </w:divBdr>
      <w:divsChild>
        <w:div w:id="1587567029">
          <w:marLeft w:val="0"/>
          <w:marRight w:val="0"/>
          <w:marTop w:val="0"/>
          <w:marBottom w:val="0"/>
          <w:divBdr>
            <w:top w:val="none" w:sz="0" w:space="0" w:color="auto"/>
            <w:left w:val="none" w:sz="0" w:space="0" w:color="auto"/>
            <w:bottom w:val="none" w:sz="0" w:space="0" w:color="auto"/>
            <w:right w:val="none" w:sz="0" w:space="0" w:color="auto"/>
          </w:divBdr>
          <w:divsChild>
            <w:div w:id="1043747054">
              <w:marLeft w:val="0"/>
              <w:marRight w:val="0"/>
              <w:marTop w:val="0"/>
              <w:marBottom w:val="0"/>
              <w:divBdr>
                <w:top w:val="none" w:sz="0" w:space="0" w:color="auto"/>
                <w:left w:val="none" w:sz="0" w:space="0" w:color="auto"/>
                <w:bottom w:val="none" w:sz="0" w:space="0" w:color="auto"/>
                <w:right w:val="none" w:sz="0" w:space="0" w:color="auto"/>
              </w:divBdr>
              <w:divsChild>
                <w:div w:id="1941833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046649">
                  <w:blockQuote w:val="1"/>
                  <w:marLeft w:val="720"/>
                  <w:marRight w:val="720"/>
                  <w:marTop w:val="100"/>
                  <w:marBottom w:val="100"/>
                  <w:divBdr>
                    <w:top w:val="none" w:sz="0" w:space="0" w:color="auto"/>
                    <w:left w:val="none" w:sz="0" w:space="0" w:color="auto"/>
                    <w:bottom w:val="none" w:sz="0" w:space="0" w:color="auto"/>
                    <w:right w:val="none" w:sz="0" w:space="0" w:color="auto"/>
                  </w:divBdr>
                </w:div>
                <w:div w:id="668022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03574243">
      <w:bodyDiv w:val="1"/>
      <w:marLeft w:val="0"/>
      <w:marRight w:val="0"/>
      <w:marTop w:val="0"/>
      <w:marBottom w:val="0"/>
      <w:divBdr>
        <w:top w:val="none" w:sz="0" w:space="0" w:color="auto"/>
        <w:left w:val="none" w:sz="0" w:space="0" w:color="auto"/>
        <w:bottom w:val="none" w:sz="0" w:space="0" w:color="auto"/>
        <w:right w:val="none" w:sz="0" w:space="0" w:color="auto"/>
      </w:divBdr>
    </w:div>
    <w:div w:id="534848772">
      <w:bodyDiv w:val="1"/>
      <w:marLeft w:val="0"/>
      <w:marRight w:val="0"/>
      <w:marTop w:val="0"/>
      <w:marBottom w:val="0"/>
      <w:divBdr>
        <w:top w:val="none" w:sz="0" w:space="0" w:color="auto"/>
        <w:left w:val="none" w:sz="0" w:space="0" w:color="auto"/>
        <w:bottom w:val="none" w:sz="0" w:space="0" w:color="auto"/>
        <w:right w:val="none" w:sz="0" w:space="0" w:color="auto"/>
      </w:divBdr>
    </w:div>
    <w:div w:id="894048374">
      <w:bodyDiv w:val="1"/>
      <w:marLeft w:val="0"/>
      <w:marRight w:val="0"/>
      <w:marTop w:val="0"/>
      <w:marBottom w:val="0"/>
      <w:divBdr>
        <w:top w:val="none" w:sz="0" w:space="0" w:color="auto"/>
        <w:left w:val="none" w:sz="0" w:space="0" w:color="auto"/>
        <w:bottom w:val="none" w:sz="0" w:space="0" w:color="auto"/>
        <w:right w:val="none" w:sz="0" w:space="0" w:color="auto"/>
      </w:divBdr>
    </w:div>
    <w:div w:id="952135496">
      <w:bodyDiv w:val="1"/>
      <w:marLeft w:val="0"/>
      <w:marRight w:val="0"/>
      <w:marTop w:val="0"/>
      <w:marBottom w:val="0"/>
      <w:divBdr>
        <w:top w:val="none" w:sz="0" w:space="0" w:color="auto"/>
        <w:left w:val="none" w:sz="0" w:space="0" w:color="auto"/>
        <w:bottom w:val="none" w:sz="0" w:space="0" w:color="auto"/>
        <w:right w:val="none" w:sz="0" w:space="0" w:color="auto"/>
      </w:divBdr>
      <w:divsChild>
        <w:div w:id="456870482">
          <w:marLeft w:val="0"/>
          <w:marRight w:val="0"/>
          <w:marTop w:val="0"/>
          <w:marBottom w:val="0"/>
          <w:divBdr>
            <w:top w:val="none" w:sz="0" w:space="0" w:color="auto"/>
            <w:left w:val="none" w:sz="0" w:space="0" w:color="auto"/>
            <w:bottom w:val="none" w:sz="0" w:space="0" w:color="auto"/>
            <w:right w:val="none" w:sz="0" w:space="0" w:color="auto"/>
          </w:divBdr>
          <w:divsChild>
            <w:div w:id="2053456294">
              <w:marLeft w:val="0"/>
              <w:marRight w:val="0"/>
              <w:marTop w:val="0"/>
              <w:marBottom w:val="0"/>
              <w:divBdr>
                <w:top w:val="none" w:sz="0" w:space="0" w:color="auto"/>
                <w:left w:val="none" w:sz="0" w:space="0" w:color="auto"/>
                <w:bottom w:val="none" w:sz="0" w:space="0" w:color="auto"/>
                <w:right w:val="none" w:sz="0" w:space="0" w:color="auto"/>
              </w:divBdr>
              <w:divsChild>
                <w:div w:id="8070460">
                  <w:marLeft w:val="0"/>
                  <w:marRight w:val="0"/>
                  <w:marTop w:val="0"/>
                  <w:marBottom w:val="0"/>
                  <w:divBdr>
                    <w:top w:val="none" w:sz="0" w:space="0" w:color="auto"/>
                    <w:left w:val="none" w:sz="0" w:space="0" w:color="auto"/>
                    <w:bottom w:val="none" w:sz="0" w:space="0" w:color="auto"/>
                    <w:right w:val="none" w:sz="0" w:space="0" w:color="auto"/>
                  </w:divBdr>
                  <w:divsChild>
                    <w:div w:id="7521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025185">
      <w:bodyDiv w:val="1"/>
      <w:marLeft w:val="0"/>
      <w:marRight w:val="0"/>
      <w:marTop w:val="0"/>
      <w:marBottom w:val="0"/>
      <w:divBdr>
        <w:top w:val="none" w:sz="0" w:space="0" w:color="auto"/>
        <w:left w:val="none" w:sz="0" w:space="0" w:color="auto"/>
        <w:bottom w:val="none" w:sz="0" w:space="0" w:color="auto"/>
        <w:right w:val="none" w:sz="0" w:space="0" w:color="auto"/>
      </w:divBdr>
    </w:div>
    <w:div w:id="1258711192">
      <w:bodyDiv w:val="1"/>
      <w:marLeft w:val="0"/>
      <w:marRight w:val="0"/>
      <w:marTop w:val="0"/>
      <w:marBottom w:val="0"/>
      <w:divBdr>
        <w:top w:val="none" w:sz="0" w:space="0" w:color="auto"/>
        <w:left w:val="none" w:sz="0" w:space="0" w:color="auto"/>
        <w:bottom w:val="none" w:sz="0" w:space="0" w:color="auto"/>
        <w:right w:val="none" w:sz="0" w:space="0" w:color="auto"/>
      </w:divBdr>
    </w:div>
    <w:div w:id="1438015116">
      <w:bodyDiv w:val="1"/>
      <w:marLeft w:val="0"/>
      <w:marRight w:val="0"/>
      <w:marTop w:val="0"/>
      <w:marBottom w:val="0"/>
      <w:divBdr>
        <w:top w:val="none" w:sz="0" w:space="0" w:color="auto"/>
        <w:left w:val="none" w:sz="0" w:space="0" w:color="auto"/>
        <w:bottom w:val="none" w:sz="0" w:space="0" w:color="auto"/>
        <w:right w:val="none" w:sz="0" w:space="0" w:color="auto"/>
      </w:divBdr>
      <w:divsChild>
        <w:div w:id="1226453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678506">
      <w:bodyDiv w:val="1"/>
      <w:marLeft w:val="0"/>
      <w:marRight w:val="0"/>
      <w:marTop w:val="0"/>
      <w:marBottom w:val="0"/>
      <w:divBdr>
        <w:top w:val="none" w:sz="0" w:space="0" w:color="auto"/>
        <w:left w:val="none" w:sz="0" w:space="0" w:color="auto"/>
        <w:bottom w:val="none" w:sz="0" w:space="0" w:color="auto"/>
        <w:right w:val="none" w:sz="0" w:space="0" w:color="auto"/>
      </w:divBdr>
    </w:div>
    <w:div w:id="1683312742">
      <w:bodyDiv w:val="1"/>
      <w:marLeft w:val="0"/>
      <w:marRight w:val="0"/>
      <w:marTop w:val="0"/>
      <w:marBottom w:val="0"/>
      <w:divBdr>
        <w:top w:val="none" w:sz="0" w:space="0" w:color="auto"/>
        <w:left w:val="none" w:sz="0" w:space="0" w:color="auto"/>
        <w:bottom w:val="none" w:sz="0" w:space="0" w:color="auto"/>
        <w:right w:val="none" w:sz="0" w:space="0" w:color="auto"/>
      </w:divBdr>
      <w:divsChild>
        <w:div w:id="1453092442">
          <w:marLeft w:val="0"/>
          <w:marRight w:val="0"/>
          <w:marTop w:val="0"/>
          <w:marBottom w:val="180"/>
          <w:divBdr>
            <w:top w:val="none" w:sz="0" w:space="0" w:color="auto"/>
            <w:left w:val="none" w:sz="0" w:space="0" w:color="auto"/>
            <w:bottom w:val="none" w:sz="0" w:space="0" w:color="auto"/>
            <w:right w:val="none" w:sz="0" w:space="0" w:color="auto"/>
          </w:divBdr>
        </w:div>
        <w:div w:id="456140526">
          <w:marLeft w:val="0"/>
          <w:marRight w:val="0"/>
          <w:marTop w:val="0"/>
          <w:marBottom w:val="180"/>
          <w:divBdr>
            <w:top w:val="none" w:sz="0" w:space="0" w:color="auto"/>
            <w:left w:val="none" w:sz="0" w:space="0" w:color="auto"/>
            <w:bottom w:val="none" w:sz="0" w:space="0" w:color="auto"/>
            <w:right w:val="none" w:sz="0" w:space="0" w:color="auto"/>
          </w:divBdr>
        </w:div>
        <w:div w:id="133303843">
          <w:marLeft w:val="0"/>
          <w:marRight w:val="0"/>
          <w:marTop w:val="0"/>
          <w:marBottom w:val="180"/>
          <w:divBdr>
            <w:top w:val="none" w:sz="0" w:space="0" w:color="auto"/>
            <w:left w:val="none" w:sz="0" w:space="0" w:color="auto"/>
            <w:bottom w:val="none" w:sz="0" w:space="0" w:color="auto"/>
            <w:right w:val="none" w:sz="0" w:space="0" w:color="auto"/>
          </w:divBdr>
        </w:div>
        <w:div w:id="1574244546">
          <w:marLeft w:val="0"/>
          <w:marRight w:val="0"/>
          <w:marTop w:val="0"/>
          <w:marBottom w:val="180"/>
          <w:divBdr>
            <w:top w:val="none" w:sz="0" w:space="0" w:color="auto"/>
            <w:left w:val="none" w:sz="0" w:space="0" w:color="auto"/>
            <w:bottom w:val="none" w:sz="0" w:space="0" w:color="auto"/>
            <w:right w:val="none" w:sz="0" w:space="0" w:color="auto"/>
          </w:divBdr>
        </w:div>
      </w:divsChild>
    </w:div>
    <w:div w:id="1750038958">
      <w:bodyDiv w:val="1"/>
      <w:marLeft w:val="0"/>
      <w:marRight w:val="0"/>
      <w:marTop w:val="0"/>
      <w:marBottom w:val="0"/>
      <w:divBdr>
        <w:top w:val="none" w:sz="0" w:space="0" w:color="auto"/>
        <w:left w:val="none" w:sz="0" w:space="0" w:color="auto"/>
        <w:bottom w:val="none" w:sz="0" w:space="0" w:color="auto"/>
        <w:right w:val="none" w:sz="0" w:space="0" w:color="auto"/>
      </w:divBdr>
      <w:divsChild>
        <w:div w:id="96411563">
          <w:marLeft w:val="0"/>
          <w:marRight w:val="0"/>
          <w:marTop w:val="0"/>
          <w:marBottom w:val="0"/>
          <w:divBdr>
            <w:top w:val="none" w:sz="0" w:space="0" w:color="auto"/>
            <w:left w:val="none" w:sz="0" w:space="0" w:color="auto"/>
            <w:bottom w:val="none" w:sz="0" w:space="0" w:color="auto"/>
            <w:right w:val="none" w:sz="0" w:space="0" w:color="auto"/>
          </w:divBdr>
          <w:divsChild>
            <w:div w:id="1747992030">
              <w:marLeft w:val="0"/>
              <w:marRight w:val="0"/>
              <w:marTop w:val="0"/>
              <w:marBottom w:val="0"/>
              <w:divBdr>
                <w:top w:val="none" w:sz="0" w:space="0" w:color="auto"/>
                <w:left w:val="none" w:sz="0" w:space="0" w:color="auto"/>
                <w:bottom w:val="none" w:sz="0" w:space="0" w:color="auto"/>
                <w:right w:val="none" w:sz="0" w:space="0" w:color="auto"/>
              </w:divBdr>
              <w:divsChild>
                <w:div w:id="1487041713">
                  <w:marLeft w:val="0"/>
                  <w:marRight w:val="0"/>
                  <w:marTop w:val="0"/>
                  <w:marBottom w:val="0"/>
                  <w:divBdr>
                    <w:top w:val="none" w:sz="0" w:space="0" w:color="auto"/>
                    <w:left w:val="none" w:sz="0" w:space="0" w:color="auto"/>
                    <w:bottom w:val="none" w:sz="0" w:space="0" w:color="auto"/>
                    <w:right w:val="none" w:sz="0" w:space="0" w:color="auto"/>
                  </w:divBdr>
                  <w:divsChild>
                    <w:div w:id="2128085094">
                      <w:marLeft w:val="0"/>
                      <w:marRight w:val="0"/>
                      <w:marTop w:val="0"/>
                      <w:marBottom w:val="0"/>
                      <w:divBdr>
                        <w:top w:val="none" w:sz="0" w:space="0" w:color="auto"/>
                        <w:left w:val="none" w:sz="0" w:space="0" w:color="auto"/>
                        <w:bottom w:val="none" w:sz="0" w:space="0" w:color="auto"/>
                        <w:right w:val="none" w:sz="0" w:space="0" w:color="auto"/>
                      </w:divBdr>
                    </w:div>
                  </w:divsChild>
                </w:div>
                <w:div w:id="1509371963">
                  <w:marLeft w:val="0"/>
                  <w:marRight w:val="0"/>
                  <w:marTop w:val="0"/>
                  <w:marBottom w:val="0"/>
                  <w:divBdr>
                    <w:top w:val="none" w:sz="0" w:space="0" w:color="auto"/>
                    <w:left w:val="none" w:sz="0" w:space="0" w:color="auto"/>
                    <w:bottom w:val="none" w:sz="0" w:space="0" w:color="auto"/>
                    <w:right w:val="none" w:sz="0" w:space="0" w:color="auto"/>
                  </w:divBdr>
                  <w:divsChild>
                    <w:div w:id="126426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F2F6E-15A9-4D0E-88BF-0A2DE2A1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3400</Words>
  <Characters>18700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Paolo</cp:lastModifiedBy>
  <cp:revision>2</cp:revision>
  <dcterms:created xsi:type="dcterms:W3CDTF">2026-09-02T18:27:00Z</dcterms:created>
  <dcterms:modified xsi:type="dcterms:W3CDTF">2026-09-02T18:27:00Z</dcterms:modified>
</cp:coreProperties>
</file>