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DC8" w:rsidRPr="00693DC8" w:rsidRDefault="00693DC8" w:rsidP="00693DC8">
      <w:pPr>
        <w:spacing w:before="100" w:beforeAutospacing="1" w:after="100" w:afterAutospacing="1" w:line="240" w:lineRule="auto"/>
        <w:jc w:val="both"/>
        <w:rPr>
          <w:rFonts w:ascii="Arial" w:eastAsia="Times New Roman" w:hAnsi="Arial" w:cs="Arial"/>
          <w:b/>
          <w:sz w:val="24"/>
          <w:szCs w:val="24"/>
          <w:u w:val="single"/>
          <w:lang w:eastAsia="es-ES"/>
        </w:rPr>
      </w:pPr>
      <w:r w:rsidRPr="00693DC8">
        <w:rPr>
          <w:rFonts w:ascii="Arial" w:eastAsia="Times New Roman" w:hAnsi="Arial" w:cs="Arial"/>
          <w:b/>
          <w:sz w:val="24"/>
          <w:szCs w:val="24"/>
          <w:u w:val="single"/>
          <w:lang w:eastAsia="es-ES"/>
        </w:rPr>
        <w:t>NORMATIVA Y PROBLEMÁTICA  SOBRE LOS DAÑOS POR LOS VEHICULOS DE ELECTRO MOVILIDAD</w:t>
      </w:r>
    </w:p>
    <w:p w:rsidR="00D42C5D" w:rsidRDefault="00D42C5D" w:rsidP="00D42C5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Instituto del Seguro CALZ</w:t>
      </w:r>
    </w:p>
    <w:p w:rsidR="00FB6638" w:rsidRPr="00FB6638" w:rsidRDefault="00693DC8" w:rsidP="00693DC8">
      <w:pPr>
        <w:spacing w:before="100" w:beforeAutospacing="1" w:after="100" w:afterAutospacing="1" w:line="240" w:lineRule="auto"/>
        <w:jc w:val="both"/>
        <w:rPr>
          <w:rFonts w:ascii="Arial" w:eastAsia="Times New Roman" w:hAnsi="Arial" w:cs="Arial"/>
          <w:sz w:val="24"/>
          <w:szCs w:val="24"/>
          <w:lang w:eastAsia="es-ES"/>
        </w:rPr>
      </w:pPr>
      <w:r w:rsidRPr="00693DC8">
        <w:rPr>
          <w:rFonts w:ascii="Arial" w:eastAsia="Times New Roman" w:hAnsi="Arial" w:cs="Arial"/>
          <w:b/>
          <w:sz w:val="24"/>
          <w:szCs w:val="24"/>
          <w:lang w:eastAsia="es-ES"/>
        </w:rPr>
        <w:t xml:space="preserve"> INTRODUCCION</w:t>
      </w:r>
      <w:r>
        <w:rPr>
          <w:rFonts w:ascii="Arial" w:eastAsia="Times New Roman" w:hAnsi="Arial" w:cs="Arial"/>
          <w:sz w:val="24"/>
          <w:szCs w:val="24"/>
          <w:lang w:eastAsia="es-ES"/>
        </w:rPr>
        <w:t xml:space="preserve"> </w:t>
      </w:r>
      <w:r w:rsidR="00FB6638" w:rsidRPr="00FB6638">
        <w:rPr>
          <w:rFonts w:ascii="Arial" w:eastAsia="Times New Roman" w:hAnsi="Arial" w:cs="Arial"/>
          <w:sz w:val="24"/>
          <w:szCs w:val="24"/>
          <w:lang w:eastAsia="es-ES"/>
        </w:rPr>
        <w:t>La irrupción masiva de vehículos eléctricos, híbridos, camiones y motos impulsados por baterías de ion-litio ha transformado en Europa y transformará en nuestro país radicalmente el parque automotor y logístico. Sin embargo, esto plantea un gran desafío operativo y legal, principalmente en incendios, fallas térmicas o accidentes asociados a estas tecnologías.</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sz w:val="24"/>
          <w:szCs w:val="24"/>
          <w:lang w:eastAsia="es-ES"/>
        </w:rPr>
        <w:t xml:space="preserve">Desde la perspectiva técnica y de prevención, un hito fundamental en esta materia es la actualización de la </w:t>
      </w:r>
      <w:r w:rsidRPr="00FB6638">
        <w:rPr>
          <w:rFonts w:ascii="Arial" w:eastAsia="Times New Roman" w:hAnsi="Arial" w:cs="Arial"/>
          <w:b/>
          <w:bCs/>
          <w:sz w:val="24"/>
          <w:szCs w:val="24"/>
          <w:lang w:eastAsia="es-ES"/>
        </w:rPr>
        <w:t>ISO 3941:2026</w:t>
      </w:r>
      <w:r w:rsidRPr="00FB6638">
        <w:rPr>
          <w:rFonts w:ascii="Arial" w:eastAsia="Times New Roman" w:hAnsi="Arial" w:cs="Arial"/>
          <w:sz w:val="24"/>
          <w:szCs w:val="24"/>
          <w:lang w:eastAsia="es-ES"/>
        </w:rPr>
        <w:t xml:space="preserve">, la cual introduce un cambio de gran relevancia en la clasificación de incendios al incorporar el </w:t>
      </w:r>
      <w:r w:rsidRPr="00FB6638">
        <w:rPr>
          <w:rFonts w:ascii="Arial" w:eastAsia="Times New Roman" w:hAnsi="Arial" w:cs="Arial"/>
          <w:b/>
          <w:bCs/>
          <w:sz w:val="24"/>
          <w:szCs w:val="24"/>
          <w:lang w:eastAsia="es-ES"/>
        </w:rPr>
        <w:t>fuego Tipo L</w:t>
      </w:r>
      <w:r w:rsidRPr="00FB6638">
        <w:rPr>
          <w:rFonts w:ascii="Arial" w:eastAsia="Times New Roman" w:hAnsi="Arial" w:cs="Arial"/>
          <w:sz w:val="24"/>
          <w:szCs w:val="24"/>
          <w:lang w:eastAsia="es-ES"/>
        </w:rPr>
        <w:t>, asociado específicamente a baterías de litio. Tal como señala el Consejo Profesional de Ingeniería Mecánica y Electricista (COPIME), este avance reconoce formalmente que los sistemas de almacenamiento electroquímico presentan dinámicas propias —como la fuga térmica (</w:t>
      </w:r>
      <w:proofErr w:type="spellStart"/>
      <w:r w:rsidRPr="00FB6638">
        <w:rPr>
          <w:rFonts w:ascii="Arial" w:eastAsia="Times New Roman" w:hAnsi="Arial" w:cs="Arial"/>
          <w:i/>
          <w:iCs/>
          <w:sz w:val="24"/>
          <w:szCs w:val="24"/>
          <w:lang w:eastAsia="es-ES"/>
        </w:rPr>
        <w:t>thermal</w:t>
      </w:r>
      <w:proofErr w:type="spellEnd"/>
      <w:r w:rsidRPr="00FB6638">
        <w:rPr>
          <w:rFonts w:ascii="Arial" w:eastAsia="Times New Roman" w:hAnsi="Arial" w:cs="Arial"/>
          <w:i/>
          <w:iCs/>
          <w:sz w:val="24"/>
          <w:szCs w:val="24"/>
          <w:lang w:eastAsia="es-ES"/>
        </w:rPr>
        <w:t xml:space="preserve"> </w:t>
      </w:r>
      <w:proofErr w:type="spellStart"/>
      <w:r w:rsidRPr="00FB6638">
        <w:rPr>
          <w:rFonts w:ascii="Arial" w:eastAsia="Times New Roman" w:hAnsi="Arial" w:cs="Arial"/>
          <w:i/>
          <w:iCs/>
          <w:sz w:val="24"/>
          <w:szCs w:val="24"/>
          <w:lang w:eastAsia="es-ES"/>
        </w:rPr>
        <w:t>runaway</w:t>
      </w:r>
      <w:proofErr w:type="spellEnd"/>
      <w:r w:rsidRPr="00FB6638">
        <w:rPr>
          <w:rFonts w:ascii="Arial" w:eastAsia="Times New Roman" w:hAnsi="Arial" w:cs="Arial"/>
          <w:sz w:val="24"/>
          <w:szCs w:val="24"/>
          <w:lang w:eastAsia="es-ES"/>
        </w:rPr>
        <w:t>), la liberación violenta de gases tóxicos, la re-ignición espontánea y la extrema dificultad para contener la propagación— que no pueden abordarse bajo los esquemas tradicionales. Esto exige no solo adaptar los protocolos de intervención de bomberos, sino también incorporar extintores específicos a base de F500 aprobados por normas IRAM-INTI.</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sz w:val="24"/>
          <w:szCs w:val="24"/>
          <w:lang w:eastAsia="es-ES"/>
        </w:rPr>
        <w:t xml:space="preserve">El mercado asegurador ha debido demostrar ante esta realidad una rápida adaptación. Dado que la Superintendencia de Seguros de la Nación (SSN) regula el marco general de pólizas automotrices bajo el Reglamento General de la Actividad Aseguradora, la irrupción del ion-litio generó el surgimiento de coberturas específicas y "pólizas verdes" o de movilidad sustentable, ya que un vehículo eléctrico presenta riesgos financieros y técnicos muy distintos a los de combustión interna. Al existir un desafío técnico sobre las condiciones </w:t>
      </w:r>
      <w:proofErr w:type="spellStart"/>
      <w:r w:rsidRPr="00FB6638">
        <w:rPr>
          <w:rFonts w:ascii="Arial" w:eastAsia="Times New Roman" w:hAnsi="Arial" w:cs="Arial"/>
          <w:sz w:val="24"/>
          <w:szCs w:val="24"/>
          <w:lang w:eastAsia="es-ES"/>
        </w:rPr>
        <w:t>asegurativas</w:t>
      </w:r>
      <w:proofErr w:type="spellEnd"/>
      <w:r w:rsidRPr="00FB6638">
        <w:rPr>
          <w:rFonts w:ascii="Arial" w:eastAsia="Times New Roman" w:hAnsi="Arial" w:cs="Arial"/>
          <w:sz w:val="24"/>
          <w:szCs w:val="24"/>
          <w:lang w:eastAsia="es-ES"/>
        </w:rPr>
        <w:t>, se deben adaptar las pólizas a fin de tener una cobertura suficiente ante el riesgo, abarcando tanto el propio auto como la responsabilidad ante terceros.</w:t>
      </w:r>
    </w:p>
    <w:p w:rsidR="00FB6638" w:rsidRPr="00FB6638" w:rsidRDefault="00FB6638" w:rsidP="00693DC8">
      <w:pPr>
        <w:spacing w:before="100" w:beforeAutospacing="1" w:after="100" w:afterAutospacing="1" w:line="240" w:lineRule="auto"/>
        <w:jc w:val="both"/>
        <w:outlineLvl w:val="2"/>
        <w:rPr>
          <w:rFonts w:ascii="Arial" w:eastAsia="Times New Roman" w:hAnsi="Arial" w:cs="Arial"/>
          <w:b/>
          <w:bCs/>
          <w:sz w:val="24"/>
          <w:szCs w:val="24"/>
          <w:lang w:eastAsia="es-ES"/>
        </w:rPr>
      </w:pPr>
      <w:r w:rsidRPr="00FB6638">
        <w:rPr>
          <w:rFonts w:ascii="Arial" w:eastAsia="Times New Roman" w:hAnsi="Arial" w:cs="Arial"/>
          <w:b/>
          <w:bCs/>
          <w:sz w:val="24"/>
          <w:szCs w:val="24"/>
          <w:lang w:eastAsia="es-ES"/>
        </w:rPr>
        <w:t>Cobertura del Automotor</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sz w:val="24"/>
          <w:szCs w:val="24"/>
          <w:lang w:eastAsia="es-ES"/>
        </w:rPr>
        <w:t>En apretada síntesis, el aseguramiento vehicular bajo este paradigma contempla los siguientes ejes críticos:</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b/>
          <w:bCs/>
          <w:sz w:val="24"/>
          <w:szCs w:val="24"/>
          <w:lang w:eastAsia="es-ES"/>
        </w:rPr>
        <w:t>El valor y riesgo del Pack de Baterías:</w:t>
      </w:r>
      <w:r w:rsidRPr="00FB6638">
        <w:rPr>
          <w:rFonts w:ascii="Arial" w:eastAsia="Times New Roman" w:hAnsi="Arial" w:cs="Arial"/>
          <w:sz w:val="24"/>
          <w:szCs w:val="24"/>
          <w:lang w:eastAsia="es-ES"/>
        </w:rPr>
        <w:t xml:space="preserve"> La batería de ion-litio puede representar entre el 40% y el 50% del valor total del vehículo, de ahí que el tratamiento con respecto a los daños parciales y destrucción total deba ser materia de reglamentación totalmente distinta a un auto a combustión fósil. Un golpe en los bajos del auto que afecte el compartimiento de la batería puede requerir el reemplazo completo del acumulador. Las aseguradoras líderes en Argentina han tenido que adaptar sus esquemas de </w:t>
      </w:r>
      <w:r w:rsidRPr="00FB6638">
        <w:rPr>
          <w:rFonts w:ascii="Arial" w:eastAsia="Times New Roman" w:hAnsi="Arial" w:cs="Arial"/>
          <w:i/>
          <w:iCs/>
          <w:sz w:val="24"/>
          <w:szCs w:val="24"/>
          <w:lang w:eastAsia="es-ES"/>
        </w:rPr>
        <w:t>Todo Riesgo</w:t>
      </w:r>
      <w:r w:rsidRPr="00FB6638">
        <w:rPr>
          <w:rFonts w:ascii="Arial" w:eastAsia="Times New Roman" w:hAnsi="Arial" w:cs="Arial"/>
          <w:sz w:val="24"/>
          <w:szCs w:val="24"/>
          <w:lang w:eastAsia="es-ES"/>
        </w:rPr>
        <w:t xml:space="preserve"> para garantizar que esta pieza crítica no quede excluida por considerarse "desgaste" o "falla interna".</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b/>
          <w:bCs/>
          <w:sz w:val="24"/>
          <w:szCs w:val="24"/>
          <w:lang w:eastAsia="es-ES"/>
        </w:rPr>
        <w:lastRenderedPageBreak/>
        <w:t>Protección del Kit de Carga:</w:t>
      </w:r>
      <w:r w:rsidRPr="00FB6638">
        <w:rPr>
          <w:rFonts w:ascii="Arial" w:eastAsia="Times New Roman" w:hAnsi="Arial" w:cs="Arial"/>
          <w:sz w:val="24"/>
          <w:szCs w:val="24"/>
          <w:lang w:eastAsia="es-ES"/>
        </w:rPr>
        <w:t xml:space="preserve"> Cobertura específica frente a robo, hurto o destrucción del cable de carga y los dispositivos/cargadores murales (</w:t>
      </w:r>
      <w:proofErr w:type="spellStart"/>
      <w:r w:rsidRPr="00FB6638">
        <w:rPr>
          <w:rFonts w:ascii="Arial" w:eastAsia="Times New Roman" w:hAnsi="Arial" w:cs="Arial"/>
          <w:sz w:val="24"/>
          <w:szCs w:val="24"/>
          <w:lang w:eastAsia="es-ES"/>
        </w:rPr>
        <w:t>Wallbox</w:t>
      </w:r>
      <w:proofErr w:type="spellEnd"/>
      <w:r w:rsidRPr="00FB6638">
        <w:rPr>
          <w:rFonts w:ascii="Arial" w:eastAsia="Times New Roman" w:hAnsi="Arial" w:cs="Arial"/>
          <w:sz w:val="24"/>
          <w:szCs w:val="24"/>
          <w:lang w:eastAsia="es-ES"/>
        </w:rPr>
        <w:t>) instalados en domicilios particulares, los cuales forman parte del equipamiento original u homologado.</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b/>
          <w:bCs/>
          <w:sz w:val="24"/>
          <w:szCs w:val="24"/>
          <w:lang w:eastAsia="es-ES"/>
        </w:rPr>
        <w:t>Riesgos Eléctricos en la Carga Domiciliaria:</w:t>
      </w:r>
      <w:r w:rsidRPr="00FB6638">
        <w:rPr>
          <w:rFonts w:ascii="Arial" w:eastAsia="Times New Roman" w:hAnsi="Arial" w:cs="Arial"/>
          <w:sz w:val="24"/>
          <w:szCs w:val="24"/>
          <w:lang w:eastAsia="es-ES"/>
        </w:rPr>
        <w:t xml:space="preserve"> Extensión de cobertura ante sobretensiones, cortocircuitos o principios de incendio ocurridos en la red eléctrica del hogar durante el proceso de recarga del vehículo.</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b/>
          <w:bCs/>
          <w:sz w:val="24"/>
          <w:szCs w:val="24"/>
          <w:lang w:eastAsia="es-ES"/>
        </w:rPr>
        <w:t>Asistencia Mecánica y Remolque Especializado:</w:t>
      </w:r>
      <w:r w:rsidRPr="00FB6638">
        <w:rPr>
          <w:rFonts w:ascii="Arial" w:eastAsia="Times New Roman" w:hAnsi="Arial" w:cs="Arial"/>
          <w:sz w:val="24"/>
          <w:szCs w:val="24"/>
          <w:lang w:eastAsia="es-ES"/>
        </w:rPr>
        <w:t xml:space="preserve"> Los vehículos eléctricos no pueden ser remolcados de la tradicional manera (con las ruedas motrices apoyadas en el asfalto), ya que esto daña el motor eléctrico y el sistema de regeneración de energía. Las pólizas adaptadas exigen y proveen servicio de traslado en camilla o plataforma plana obligatoria.</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b/>
          <w:bCs/>
          <w:sz w:val="24"/>
          <w:szCs w:val="24"/>
          <w:lang w:eastAsia="es-ES"/>
        </w:rPr>
        <w:t>Red de Talleres Certificados:</w:t>
      </w:r>
      <w:r w:rsidRPr="00FB6638">
        <w:rPr>
          <w:rFonts w:ascii="Arial" w:eastAsia="Times New Roman" w:hAnsi="Arial" w:cs="Arial"/>
          <w:sz w:val="24"/>
          <w:szCs w:val="24"/>
          <w:lang w:eastAsia="es-ES"/>
        </w:rPr>
        <w:t xml:space="preserve"> Debido a la complejidad de la alta tensión, las aseguradoras delimitan la cobertura a reparaciones efectuadas exclusivamente en talleres oficiales de las terminales automotrices que posean herramientas aisladas y personal certificado para manipular sistemas eléctricos de alta potencia.</w:t>
      </w:r>
    </w:p>
    <w:p w:rsidR="00FB6638" w:rsidRPr="00FB6638" w:rsidRDefault="00FB6638" w:rsidP="00693DC8">
      <w:pPr>
        <w:spacing w:before="100" w:beforeAutospacing="1" w:after="100" w:afterAutospacing="1" w:line="240" w:lineRule="auto"/>
        <w:jc w:val="both"/>
        <w:outlineLvl w:val="2"/>
        <w:rPr>
          <w:rFonts w:ascii="Arial" w:eastAsia="Times New Roman" w:hAnsi="Arial" w:cs="Arial"/>
          <w:b/>
          <w:bCs/>
          <w:sz w:val="24"/>
          <w:szCs w:val="24"/>
          <w:lang w:eastAsia="es-ES"/>
        </w:rPr>
      </w:pPr>
      <w:r w:rsidRPr="00FB6638">
        <w:rPr>
          <w:rFonts w:ascii="Arial" w:eastAsia="Times New Roman" w:hAnsi="Arial" w:cs="Arial"/>
          <w:b/>
          <w:bCs/>
          <w:sz w:val="24"/>
          <w:szCs w:val="24"/>
          <w:lang w:eastAsia="es-ES"/>
        </w:rPr>
        <w:t>Responsabilidad Civil</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sz w:val="24"/>
          <w:szCs w:val="24"/>
          <w:lang w:eastAsia="es-ES"/>
        </w:rPr>
        <w:t xml:space="preserve">En el ámbito de los seguros en Argentina, la Responsabilidad Civil frente a terceros opera bajo los mismos lineamientos legales generales tanto para un vehículo de combustión interna como para uno eléctrico o híbrido, encontrando un sustento troncal en la noción jurídica de </w:t>
      </w:r>
      <w:r w:rsidRPr="00FB6638">
        <w:rPr>
          <w:rFonts w:ascii="Arial" w:eastAsia="Times New Roman" w:hAnsi="Arial" w:cs="Arial"/>
          <w:b/>
          <w:bCs/>
          <w:sz w:val="24"/>
          <w:szCs w:val="24"/>
          <w:lang w:eastAsia="es-ES"/>
        </w:rPr>
        <w:t>Riesgo Creado</w:t>
      </w:r>
      <w:r w:rsidRPr="00FB6638">
        <w:rPr>
          <w:rFonts w:ascii="Arial" w:eastAsia="Times New Roman" w:hAnsi="Arial" w:cs="Arial"/>
          <w:sz w:val="24"/>
          <w:szCs w:val="24"/>
          <w:lang w:eastAsia="es-ES"/>
        </w:rPr>
        <w:t xml:space="preserve"> prevista en la Ley de Seguros N° 17.418. Sin embargo, debido a las características físico-químicas de las baterías de ion-litio, los siniestros plantean matices críticos en su cobertura y en la exposición patrimonial del propietario.</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b/>
          <w:bCs/>
          <w:sz w:val="24"/>
          <w:szCs w:val="24"/>
          <w:lang w:eastAsia="es-ES"/>
        </w:rPr>
        <w:t>Cobertura estándar:</w:t>
      </w:r>
      <w:r w:rsidRPr="00FB6638">
        <w:rPr>
          <w:rFonts w:ascii="Arial" w:eastAsia="Times New Roman" w:hAnsi="Arial" w:cs="Arial"/>
          <w:sz w:val="24"/>
          <w:szCs w:val="24"/>
          <w:lang w:eastAsia="es-ES"/>
        </w:rPr>
        <w:t xml:space="preserve"> Si el vehículo eléctrico colisiona y genera daños materiales o lesiones a terceros, la cobertura responde de la misma manera que un auto tradicional, amparada por el Seguro Obligatorio de Responsabilidad Civil (Ley de Tránsito N° 24.449) y el tramo voluntario de la póliza. O sea, el tratamiento regulatorio legal base es el mismo.</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b/>
          <w:bCs/>
          <w:sz w:val="24"/>
          <w:szCs w:val="24"/>
          <w:lang w:eastAsia="es-ES"/>
        </w:rPr>
        <w:t>El factor peso e inercia:</w:t>
      </w:r>
      <w:r w:rsidRPr="00FB6638">
        <w:rPr>
          <w:rFonts w:ascii="Arial" w:eastAsia="Times New Roman" w:hAnsi="Arial" w:cs="Arial"/>
          <w:sz w:val="24"/>
          <w:szCs w:val="24"/>
          <w:lang w:eastAsia="es-ES"/>
        </w:rPr>
        <w:t xml:space="preserve"> Los vehículos eléctricos suelen ser sustancialmente más pesados que sus pares de combustión debido al pack de baterías. Ante un impacto, la energía cinética es mayor, lo que incrementa la severidad de los daños materiales y corporales al tercero. Las aseguradoras cubren esto, pero ponderan el riesgo según el porte del vehículo, lo que suele traducirse en una prima mayor.</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b/>
          <w:bCs/>
          <w:sz w:val="24"/>
          <w:szCs w:val="24"/>
          <w:lang w:eastAsia="es-ES"/>
        </w:rPr>
        <w:t>Responsabilidad frente a Terceros por Incendio (</w:t>
      </w:r>
      <w:proofErr w:type="spellStart"/>
      <w:r w:rsidRPr="00FB6638">
        <w:rPr>
          <w:rFonts w:ascii="Arial" w:eastAsia="Times New Roman" w:hAnsi="Arial" w:cs="Arial"/>
          <w:b/>
          <w:bCs/>
          <w:i/>
          <w:iCs/>
          <w:sz w:val="24"/>
          <w:szCs w:val="24"/>
          <w:lang w:eastAsia="es-ES"/>
        </w:rPr>
        <w:t>Thermal</w:t>
      </w:r>
      <w:proofErr w:type="spellEnd"/>
      <w:r w:rsidRPr="00FB6638">
        <w:rPr>
          <w:rFonts w:ascii="Arial" w:eastAsia="Times New Roman" w:hAnsi="Arial" w:cs="Arial"/>
          <w:b/>
          <w:bCs/>
          <w:i/>
          <w:iCs/>
          <w:sz w:val="24"/>
          <w:szCs w:val="24"/>
          <w:lang w:eastAsia="es-ES"/>
        </w:rPr>
        <w:t xml:space="preserve"> </w:t>
      </w:r>
      <w:proofErr w:type="spellStart"/>
      <w:r w:rsidRPr="00FB6638">
        <w:rPr>
          <w:rFonts w:ascii="Arial" w:eastAsia="Times New Roman" w:hAnsi="Arial" w:cs="Arial"/>
          <w:b/>
          <w:bCs/>
          <w:i/>
          <w:iCs/>
          <w:sz w:val="24"/>
          <w:szCs w:val="24"/>
          <w:lang w:eastAsia="es-ES"/>
        </w:rPr>
        <w:t>Runaway</w:t>
      </w:r>
      <w:proofErr w:type="spellEnd"/>
      <w:r w:rsidRPr="00FB6638">
        <w:rPr>
          <w:rFonts w:ascii="Arial" w:eastAsia="Times New Roman" w:hAnsi="Arial" w:cs="Arial"/>
          <w:b/>
          <w:bCs/>
          <w:sz w:val="24"/>
          <w:szCs w:val="24"/>
          <w:lang w:eastAsia="es-ES"/>
        </w:rPr>
        <w:t>):</w:t>
      </w:r>
      <w:r w:rsidRPr="00FB6638">
        <w:rPr>
          <w:rFonts w:ascii="Arial" w:eastAsia="Times New Roman" w:hAnsi="Arial" w:cs="Arial"/>
          <w:sz w:val="24"/>
          <w:szCs w:val="24"/>
          <w:lang w:eastAsia="es-ES"/>
        </w:rPr>
        <w:t xml:space="preserve"> Si un auto eléctrico estacionado o en circulación sufre un cortocircuito interno y se incendia, puede propagar el fuego a vehículos linderos, viviendas o estructuras cercanas (por ejemplo, en un estacionamiento subterráneo). La cobertura de Responsabilidad Civil Voluntaria del automotor se extiende a los daños por </w:t>
      </w:r>
      <w:r w:rsidRPr="00FB6638">
        <w:rPr>
          <w:rFonts w:ascii="Arial" w:eastAsia="Times New Roman" w:hAnsi="Arial" w:cs="Arial"/>
          <w:sz w:val="24"/>
          <w:szCs w:val="24"/>
          <w:lang w:eastAsia="es-ES"/>
        </w:rPr>
        <w:lastRenderedPageBreak/>
        <w:t>incendio causados a terceros, aunque los requisitos de análisis técnico son más exigentes.</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b/>
          <w:bCs/>
          <w:sz w:val="24"/>
          <w:szCs w:val="24"/>
          <w:lang w:eastAsia="es-ES"/>
        </w:rPr>
        <w:t>La Prima:</w:t>
      </w:r>
      <w:r w:rsidRPr="00FB6638">
        <w:rPr>
          <w:rFonts w:ascii="Arial" w:eastAsia="Times New Roman" w:hAnsi="Arial" w:cs="Arial"/>
          <w:sz w:val="24"/>
          <w:szCs w:val="24"/>
          <w:lang w:eastAsia="es-ES"/>
        </w:rPr>
        <w:t xml:space="preserve"> Una diferencia importante es que estos seguros no tienen un tope fijo de tarifa; responden al riesgo técnico y son de libre comercialización a criterio actuarial de cada aseguradora. Ante el altísimo costo de reposición de componentes, la imprevisibilidad estadística de la fuga térmica y la escasez de peritos especializados locales, las primas suelen ser significativamente más </w:t>
      </w:r>
      <w:proofErr w:type="gramStart"/>
      <w:r w:rsidRPr="00FB6638">
        <w:rPr>
          <w:rFonts w:ascii="Arial" w:eastAsia="Times New Roman" w:hAnsi="Arial" w:cs="Arial"/>
          <w:sz w:val="24"/>
          <w:szCs w:val="24"/>
          <w:lang w:eastAsia="es-ES"/>
        </w:rPr>
        <w:t>altas</w:t>
      </w:r>
      <w:proofErr w:type="gramEnd"/>
      <w:r w:rsidRPr="00FB6638">
        <w:rPr>
          <w:rFonts w:ascii="Arial" w:eastAsia="Times New Roman" w:hAnsi="Arial" w:cs="Arial"/>
          <w:sz w:val="24"/>
          <w:szCs w:val="24"/>
          <w:lang w:eastAsia="es-ES"/>
        </w:rPr>
        <w:t xml:space="preserve"> (un 30% a 50% superiores en comparación con un vehículo naftero equivalente).</w:t>
      </w:r>
    </w:p>
    <w:p w:rsidR="00FB6638" w:rsidRPr="00FB6638" w:rsidRDefault="00FB6638" w:rsidP="00693DC8">
      <w:pPr>
        <w:spacing w:before="100" w:beforeAutospacing="1" w:after="100" w:afterAutospacing="1" w:line="240" w:lineRule="auto"/>
        <w:jc w:val="both"/>
        <w:outlineLvl w:val="2"/>
        <w:rPr>
          <w:rFonts w:ascii="Arial" w:eastAsia="Times New Roman" w:hAnsi="Arial" w:cs="Arial"/>
          <w:b/>
          <w:bCs/>
          <w:sz w:val="24"/>
          <w:szCs w:val="24"/>
          <w:lang w:eastAsia="es-ES"/>
        </w:rPr>
      </w:pPr>
      <w:r w:rsidRPr="00FB6638">
        <w:rPr>
          <w:rFonts w:ascii="Arial" w:eastAsia="Times New Roman" w:hAnsi="Arial" w:cs="Arial"/>
          <w:b/>
          <w:bCs/>
          <w:sz w:val="24"/>
          <w:szCs w:val="24"/>
          <w:lang w:eastAsia="es-ES"/>
        </w:rPr>
        <w:t xml:space="preserve">Tope </w:t>
      </w:r>
      <w:proofErr w:type="spellStart"/>
      <w:r w:rsidRPr="00FB6638">
        <w:rPr>
          <w:rFonts w:ascii="Arial" w:eastAsia="Times New Roman" w:hAnsi="Arial" w:cs="Arial"/>
          <w:b/>
          <w:bCs/>
          <w:sz w:val="24"/>
          <w:szCs w:val="24"/>
          <w:lang w:eastAsia="es-ES"/>
        </w:rPr>
        <w:t>Asegurativo</w:t>
      </w:r>
      <w:proofErr w:type="spellEnd"/>
      <w:r w:rsidRPr="00FB6638">
        <w:rPr>
          <w:rFonts w:ascii="Arial" w:eastAsia="Times New Roman" w:hAnsi="Arial" w:cs="Arial"/>
          <w:b/>
          <w:bCs/>
          <w:sz w:val="24"/>
          <w:szCs w:val="24"/>
          <w:lang w:eastAsia="es-ES"/>
        </w:rPr>
        <w:t xml:space="preserve"> y Marco Legal</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sz w:val="24"/>
          <w:szCs w:val="24"/>
          <w:lang w:eastAsia="es-ES"/>
        </w:rPr>
        <w:t xml:space="preserve">El funcionamiento de un tope </w:t>
      </w:r>
      <w:proofErr w:type="spellStart"/>
      <w:r w:rsidRPr="00FB6638">
        <w:rPr>
          <w:rFonts w:ascii="Arial" w:eastAsia="Times New Roman" w:hAnsi="Arial" w:cs="Arial"/>
          <w:sz w:val="24"/>
          <w:szCs w:val="24"/>
          <w:lang w:eastAsia="es-ES"/>
        </w:rPr>
        <w:t>asegurativo</w:t>
      </w:r>
      <w:proofErr w:type="spellEnd"/>
      <w:r w:rsidRPr="00FB6638">
        <w:rPr>
          <w:rFonts w:ascii="Arial" w:eastAsia="Times New Roman" w:hAnsi="Arial" w:cs="Arial"/>
          <w:sz w:val="24"/>
          <w:szCs w:val="24"/>
          <w:lang w:eastAsia="es-ES"/>
        </w:rPr>
        <w:t xml:space="preserve"> frente a siniestros complejos —como un incendio masivo provocado por baterías de ion-litio en un garaje cerrado que afecte a terceros— cruza normativas fundamentales del sistema argentino: la Ley de Seguros (N° 17.418), la Ley de Entidades de Seguros y su Control (N° 20.091), la Ley de Productores Asesores de Seguros (N° 22.400) y la Ley de Defensa del Consumidor (N° 24.240), bajo la órbita de control de la Superintendencia de Seguros de la Nación (SSN).</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sz w:val="24"/>
          <w:szCs w:val="24"/>
          <w:lang w:eastAsia="es-ES"/>
        </w:rPr>
        <w:t>Las sumas aseguradas para la Responsabilidad Civil no son libres, sino que están topadas y reguladas obligatoriamente por la SSN (con un límite actual para el seguro voluntario de automóviles particulares ubicado en $208.000.000 por acontecimiento). A esto se suman directrices específicas como la Resolución SSN N° 38 (Anexo 23.6), que pauta la correcta confección de las cláusulas de póliza.</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sz w:val="24"/>
          <w:szCs w:val="24"/>
          <w:lang w:eastAsia="es-ES"/>
        </w:rPr>
        <w:t>En este engranaje normativo, los Productores Asesores de Seguros (PAS) cumplen un rol central bajo el deber de información estipulado en los artículos 10 y 12 de la Ley 22.400, debiendo advertir al asegurado sobre los costos diferenciales, la</w:t>
      </w:r>
      <w:r w:rsidRPr="00693DC8">
        <w:rPr>
          <w:rFonts w:ascii="Arial" w:eastAsia="Times New Roman" w:hAnsi="Arial" w:cs="Arial"/>
          <w:sz w:val="24"/>
          <w:szCs w:val="24"/>
          <w:lang w:eastAsia="es-ES"/>
        </w:rPr>
        <w:t xml:space="preserve"> creación de extra primas</w:t>
      </w:r>
      <w:r w:rsidRPr="00FB6638">
        <w:rPr>
          <w:rFonts w:ascii="Arial" w:eastAsia="Times New Roman" w:hAnsi="Arial" w:cs="Arial"/>
          <w:sz w:val="24"/>
          <w:szCs w:val="24"/>
          <w:lang w:eastAsia="es-ES"/>
        </w:rPr>
        <w:t xml:space="preserve"> y las particularidades de cobertura de estas tecnologías.</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sz w:val="24"/>
          <w:szCs w:val="24"/>
          <w:lang w:eastAsia="es-ES"/>
        </w:rPr>
        <w:t>Si un vehículo eléctrico sufre un cortocircuito en un estacionamiento y el fuego destruye el edificio y otros automóviles, la aseguradora responderá estrictamente hasta el tope legal de la póliza fijado por la SS</w:t>
      </w:r>
      <w:r w:rsidRPr="00693DC8">
        <w:rPr>
          <w:rFonts w:ascii="Arial" w:eastAsia="Times New Roman" w:hAnsi="Arial" w:cs="Arial"/>
          <w:sz w:val="24"/>
          <w:szCs w:val="24"/>
          <w:lang w:eastAsia="es-ES"/>
        </w:rPr>
        <w:t xml:space="preserve">N. Todo el excedente económico, </w:t>
      </w:r>
      <w:r w:rsidRPr="00FB6638">
        <w:rPr>
          <w:rFonts w:ascii="Arial" w:eastAsia="Times New Roman" w:hAnsi="Arial" w:cs="Arial"/>
          <w:sz w:val="24"/>
          <w:szCs w:val="24"/>
          <w:lang w:eastAsia="es-ES"/>
        </w:rPr>
        <w:t>la diferencia entre el daño real y el límite del seguro</w:t>
      </w:r>
      <w:r w:rsidRPr="00693DC8">
        <w:rPr>
          <w:rFonts w:ascii="Arial" w:eastAsia="Times New Roman" w:hAnsi="Arial" w:cs="Arial"/>
          <w:sz w:val="24"/>
          <w:szCs w:val="24"/>
          <w:lang w:eastAsia="es-ES"/>
        </w:rPr>
        <w:t>,</w:t>
      </w:r>
      <w:r w:rsidRPr="00FB6638">
        <w:rPr>
          <w:rFonts w:ascii="Arial" w:eastAsia="Times New Roman" w:hAnsi="Arial" w:cs="Arial"/>
          <w:sz w:val="24"/>
          <w:szCs w:val="24"/>
          <w:lang w:eastAsia="es-ES"/>
        </w:rPr>
        <w:t xml:space="preserve"> recae de forma directa e ineludible sobre el patrimonio personal del dueño del vehículo.</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sz w:val="24"/>
          <w:szCs w:val="24"/>
          <w:lang w:eastAsia="es-ES"/>
        </w:rPr>
        <w:t xml:space="preserve">En cuanto a la </w:t>
      </w:r>
      <w:r w:rsidRPr="00FB6638">
        <w:rPr>
          <w:rFonts w:ascii="Arial" w:eastAsia="Times New Roman" w:hAnsi="Arial" w:cs="Arial"/>
          <w:b/>
          <w:bCs/>
          <w:sz w:val="24"/>
          <w:szCs w:val="24"/>
          <w:lang w:eastAsia="es-ES"/>
        </w:rPr>
        <w:t>Ley de Defensa del Consumidor (N° 24.240)</w:t>
      </w:r>
      <w:r w:rsidRPr="00FB6638">
        <w:rPr>
          <w:rFonts w:ascii="Arial" w:eastAsia="Times New Roman" w:hAnsi="Arial" w:cs="Arial"/>
          <w:sz w:val="24"/>
          <w:szCs w:val="24"/>
          <w:lang w:eastAsia="es-ES"/>
        </w:rPr>
        <w:t xml:space="preserve">, aunque los contratos de adhesión de seguros están alcanzados por su régimen y buscan la reparación integral de los daños, los tribunales y la jurisprudencia han convalidado históricamente que los topes de las pólizas de seguros son oponibles. La ley </w:t>
      </w:r>
      <w:proofErr w:type="spellStart"/>
      <w:r w:rsidRPr="00FB6638">
        <w:rPr>
          <w:rFonts w:ascii="Arial" w:eastAsia="Times New Roman" w:hAnsi="Arial" w:cs="Arial"/>
          <w:sz w:val="24"/>
          <w:szCs w:val="24"/>
          <w:lang w:eastAsia="es-ES"/>
        </w:rPr>
        <w:t>consumerista</w:t>
      </w:r>
      <w:proofErr w:type="spellEnd"/>
      <w:r w:rsidRPr="00FB6638">
        <w:rPr>
          <w:rFonts w:ascii="Arial" w:eastAsia="Times New Roman" w:hAnsi="Arial" w:cs="Arial"/>
          <w:sz w:val="24"/>
          <w:szCs w:val="24"/>
          <w:lang w:eastAsia="es-ES"/>
        </w:rPr>
        <w:t xml:space="preserve"> no puede obligar a una aseguradora a pagar más allá del tope técnico y financiero autorizado por la SSN, ya que esto desequilibraría la viabilidad de todo el sistema asegurador.</w:t>
      </w:r>
    </w:p>
    <w:p w:rsidR="00FB6638" w:rsidRPr="00FB6638" w:rsidRDefault="00FB6638" w:rsidP="00693DC8">
      <w:pPr>
        <w:spacing w:before="100" w:beforeAutospacing="1" w:after="100" w:afterAutospacing="1" w:line="240" w:lineRule="auto"/>
        <w:jc w:val="both"/>
        <w:rPr>
          <w:rFonts w:ascii="Arial" w:eastAsia="Times New Roman" w:hAnsi="Arial" w:cs="Arial"/>
          <w:sz w:val="24"/>
          <w:szCs w:val="24"/>
          <w:lang w:eastAsia="es-ES"/>
        </w:rPr>
      </w:pPr>
      <w:r w:rsidRPr="00FB6638">
        <w:rPr>
          <w:rFonts w:ascii="Arial" w:eastAsia="Times New Roman" w:hAnsi="Arial" w:cs="Arial"/>
          <w:sz w:val="24"/>
          <w:szCs w:val="24"/>
          <w:lang w:eastAsia="es-ES"/>
        </w:rPr>
        <w:lastRenderedPageBreak/>
        <w:t>Ante esta insuficiencia estructural de los topes tradicionales frente a la violencia de un incendio por ion-litio, algunas compañías de seguros de vanguardia en movilidad sustentable ya ofrecen en el mercado argentino la posibilidad de contratar ampliaciones voluntarias de los límites de Responsabilidad Civil, pagando una prima diferenciada acorde al riesgo real de portar un acumulador de gran escala energética. Se trata de un escenario en plena evolución legislativa y comercial, donde la doctrina aseguradora continúa adaptando herramientas normativas históricas a las exigencias de la modernidad tecnológica.</w:t>
      </w:r>
    </w:p>
    <w:p w:rsidR="00FB6638" w:rsidRPr="00693DC8" w:rsidRDefault="00FB6638" w:rsidP="00693DC8">
      <w:pPr>
        <w:pStyle w:val="Ttulo3"/>
        <w:jc w:val="both"/>
        <w:rPr>
          <w:rFonts w:ascii="Arial" w:hAnsi="Arial" w:cs="Arial"/>
          <w:sz w:val="24"/>
          <w:szCs w:val="24"/>
        </w:rPr>
      </w:pPr>
      <w:r w:rsidRPr="00693DC8">
        <w:rPr>
          <w:rFonts w:ascii="Arial" w:hAnsi="Arial" w:cs="Arial"/>
          <w:sz w:val="24"/>
          <w:szCs w:val="24"/>
        </w:rPr>
        <w:t xml:space="preserve">Desafíos </w:t>
      </w:r>
      <w:r w:rsidR="00D42C5D" w:rsidRPr="00693DC8">
        <w:rPr>
          <w:rFonts w:ascii="Arial" w:hAnsi="Arial" w:cs="Arial"/>
          <w:sz w:val="24"/>
          <w:szCs w:val="24"/>
        </w:rPr>
        <w:t>de</w:t>
      </w:r>
      <w:r w:rsidRPr="00693DC8">
        <w:rPr>
          <w:rFonts w:ascii="Arial" w:hAnsi="Arial" w:cs="Arial"/>
          <w:sz w:val="24"/>
          <w:szCs w:val="24"/>
        </w:rPr>
        <w:t xml:space="preserve"> electro movilidad en Argentina: El Reto de una legislación pendiente</w:t>
      </w:r>
    </w:p>
    <w:p w:rsidR="00FB6638" w:rsidRPr="00693DC8" w:rsidRDefault="00FB6638" w:rsidP="00693DC8">
      <w:pPr>
        <w:pStyle w:val="NormalWeb"/>
        <w:jc w:val="both"/>
        <w:rPr>
          <w:rFonts w:ascii="Arial" w:hAnsi="Arial" w:cs="Arial"/>
        </w:rPr>
      </w:pPr>
      <w:r w:rsidRPr="00693DC8">
        <w:rPr>
          <w:rFonts w:ascii="Arial" w:hAnsi="Arial" w:cs="Arial"/>
        </w:rPr>
        <w:t xml:space="preserve">El comienzo de una  expansión de la electro movilidad en la Argentina expone un desajuste entre el avance tecnológico del mercado y el marco regulatorio vigente. La falta de una </w:t>
      </w:r>
      <w:r w:rsidRPr="00693DC8">
        <w:rPr>
          <w:rFonts w:ascii="Arial" w:hAnsi="Arial" w:cs="Arial"/>
          <w:b/>
          <w:bCs/>
        </w:rPr>
        <w:t>Ley Nacional de Electro movilidad</w:t>
      </w:r>
      <w:r w:rsidRPr="00693DC8">
        <w:rPr>
          <w:rFonts w:ascii="Arial" w:hAnsi="Arial" w:cs="Arial"/>
        </w:rPr>
        <w:t xml:space="preserve"> integral y actualizada deja al descubierto múltiple vacío legal y operativo que impactan de forma directa en la seguridad vial, el medio ambiente y el derecho de seguros:</w:t>
      </w:r>
    </w:p>
    <w:p w:rsidR="00FB6638" w:rsidRPr="00693DC8" w:rsidRDefault="00FB6638" w:rsidP="00693DC8">
      <w:pPr>
        <w:pStyle w:val="NormalWeb"/>
        <w:jc w:val="both"/>
        <w:rPr>
          <w:rFonts w:ascii="Arial" w:hAnsi="Arial" w:cs="Arial"/>
        </w:rPr>
      </w:pPr>
      <w:r w:rsidRPr="00693DC8">
        <w:rPr>
          <w:rFonts w:ascii="Arial" w:hAnsi="Arial" w:cs="Arial"/>
        </w:rPr>
        <w:t>A pesar de diversas iniciativas parlamentarias y resoluciones sectoriales aisladas, el país aún carece de un marco legal nacional articulado que regule integralmente la movilidad sustentable. Esto genera una fragmentación jurisdiccional donde distintas provincias o municipios aplican criterios disímiles en materia de exenciones impositivas, homologaciones y condiciones de circulación.</w:t>
      </w:r>
    </w:p>
    <w:p w:rsidR="00FB6638" w:rsidRPr="00693DC8" w:rsidRDefault="00FB6638" w:rsidP="00693DC8">
      <w:pPr>
        <w:pStyle w:val="NormalWeb"/>
        <w:jc w:val="both"/>
        <w:rPr>
          <w:rFonts w:ascii="Arial" w:hAnsi="Arial" w:cs="Arial"/>
        </w:rPr>
      </w:pPr>
      <w:r w:rsidRPr="00693DC8">
        <w:rPr>
          <w:rFonts w:ascii="Arial" w:hAnsi="Arial" w:cs="Arial"/>
        </w:rPr>
        <w:t xml:space="preserve">Con respecto a la </w:t>
      </w:r>
      <w:r w:rsidR="00693DC8" w:rsidRPr="00693DC8">
        <w:rPr>
          <w:rFonts w:ascii="Arial" w:hAnsi="Arial" w:cs="Arial"/>
        </w:rPr>
        <w:t xml:space="preserve">actividad asegurativa </w:t>
      </w:r>
      <w:r w:rsidRPr="00693DC8">
        <w:rPr>
          <w:rFonts w:ascii="Arial" w:hAnsi="Arial" w:cs="Arial"/>
        </w:rPr>
        <w:t xml:space="preserve"> La Superintendencia de Seguros de la Nación no ha dictado aún un reglamento marco que establezca clausulados tipo obligatorios para </w:t>
      </w:r>
      <w:proofErr w:type="gramStart"/>
      <w:r w:rsidRPr="00693DC8">
        <w:rPr>
          <w:rFonts w:ascii="Arial" w:hAnsi="Arial" w:cs="Arial"/>
        </w:rPr>
        <w:t>la</w:t>
      </w:r>
      <w:proofErr w:type="gramEnd"/>
      <w:r w:rsidRPr="00693DC8">
        <w:rPr>
          <w:rFonts w:ascii="Arial" w:hAnsi="Arial" w:cs="Arial"/>
        </w:rPr>
        <w:t xml:space="preserve"> </w:t>
      </w:r>
      <w:r w:rsidR="00693DC8" w:rsidRPr="00693DC8">
        <w:rPr>
          <w:rFonts w:ascii="Arial" w:hAnsi="Arial" w:cs="Arial"/>
        </w:rPr>
        <w:t>electro movilidad</w:t>
      </w:r>
      <w:r w:rsidRPr="00693DC8">
        <w:rPr>
          <w:rFonts w:ascii="Arial" w:hAnsi="Arial" w:cs="Arial"/>
        </w:rPr>
        <w:t>. Esto deja librado al criterio actuarial de cada compañía la fijación de primas, franquicias y exclusiones, generando desprotección al asegurado ante la insuficiencia de los topes de Responsabilidad Civil estándar frente a siniestros catastróficos por Fuego Tipo L.</w:t>
      </w:r>
      <w:r w:rsidR="00421419">
        <w:rPr>
          <w:rFonts w:ascii="Arial" w:hAnsi="Arial" w:cs="Arial"/>
        </w:rPr>
        <w:t xml:space="preserve"> </w:t>
      </w:r>
    </w:p>
    <w:p w:rsidR="00FB6638" w:rsidRDefault="00421419" w:rsidP="00693DC8">
      <w:pPr>
        <w:pStyle w:val="NormalWeb"/>
        <w:jc w:val="both"/>
        <w:rPr>
          <w:rFonts w:ascii="Arial" w:hAnsi="Arial" w:cs="Arial"/>
        </w:rPr>
      </w:pPr>
      <w:r>
        <w:rPr>
          <w:rFonts w:ascii="Arial" w:hAnsi="Arial" w:cs="Arial"/>
        </w:rPr>
        <w:t xml:space="preserve">CONCLUSION: </w:t>
      </w:r>
      <w:proofErr w:type="gramStart"/>
      <w:r w:rsidRPr="00693DC8">
        <w:rPr>
          <w:rFonts w:ascii="Arial" w:hAnsi="Arial" w:cs="Arial"/>
        </w:rPr>
        <w:t>la</w:t>
      </w:r>
      <w:proofErr w:type="gramEnd"/>
      <w:r w:rsidR="00FB6638" w:rsidRPr="00693DC8">
        <w:rPr>
          <w:rFonts w:ascii="Arial" w:hAnsi="Arial" w:cs="Arial"/>
        </w:rPr>
        <w:t xml:space="preserve"> </w:t>
      </w:r>
      <w:r w:rsidR="00693DC8" w:rsidRPr="00693DC8">
        <w:rPr>
          <w:rFonts w:ascii="Arial" w:hAnsi="Arial" w:cs="Arial"/>
        </w:rPr>
        <w:t>electro movilidad</w:t>
      </w:r>
      <w:r w:rsidR="00FB6638" w:rsidRPr="00693DC8">
        <w:rPr>
          <w:rFonts w:ascii="Arial" w:hAnsi="Arial" w:cs="Arial"/>
        </w:rPr>
        <w:t xml:space="preserve"> en la Argentina enfrenta el desafío de actualizar su ingeniería jurídica. De no avanzar rápidamente en la promulgación de leyes técnicas, ambientales y </w:t>
      </w:r>
      <w:proofErr w:type="spellStart"/>
      <w:r w:rsidR="00FB6638" w:rsidRPr="00693DC8">
        <w:rPr>
          <w:rFonts w:ascii="Arial" w:hAnsi="Arial" w:cs="Arial"/>
        </w:rPr>
        <w:t>asegurativas</w:t>
      </w:r>
      <w:proofErr w:type="spellEnd"/>
      <w:r w:rsidR="00FB6638" w:rsidRPr="00693DC8">
        <w:rPr>
          <w:rFonts w:ascii="Arial" w:hAnsi="Arial" w:cs="Arial"/>
        </w:rPr>
        <w:t xml:space="preserve"> específicas, la transición energética continuará operando en una zona de penumbra legal, trasladando los costos y la incertidumbre directamente sobre el patrimonio de los usuarios y la seguridad de la comunidad.</w:t>
      </w:r>
    </w:p>
    <w:p w:rsidR="00421419" w:rsidRDefault="00421419" w:rsidP="00693DC8">
      <w:pPr>
        <w:pStyle w:val="NormalWeb"/>
        <w:jc w:val="both"/>
        <w:rPr>
          <w:rFonts w:ascii="Arial" w:hAnsi="Arial" w:cs="Arial"/>
        </w:rPr>
      </w:pPr>
      <w:r>
        <w:rPr>
          <w:rFonts w:ascii="Arial" w:hAnsi="Arial" w:cs="Arial"/>
        </w:rPr>
        <w:t xml:space="preserve">Desde nuestra competencia como abogados podemos proponer soluciones a todos estos y otros  planteos </w:t>
      </w:r>
      <w:bookmarkStart w:id="0" w:name="_GoBack"/>
      <w:bookmarkEnd w:id="0"/>
      <w:r>
        <w:rPr>
          <w:rFonts w:ascii="Arial" w:hAnsi="Arial" w:cs="Arial"/>
        </w:rPr>
        <w:t xml:space="preserve"> sobre el tema. En el Instituto de Seguros esperamos y agradecemos las opiniones de todos los colegas.-</w:t>
      </w:r>
    </w:p>
    <w:p w:rsidR="00421419" w:rsidRPr="00FB22B3" w:rsidRDefault="00421419" w:rsidP="00421419">
      <w:pPr>
        <w:jc w:val="both"/>
        <w:rPr>
          <w:rFonts w:ascii="Arial" w:hAnsi="Arial" w:cs="Arial"/>
          <w:color w:val="000000" w:themeColor="text1"/>
          <w:sz w:val="18"/>
          <w:szCs w:val="18"/>
        </w:rPr>
      </w:pPr>
      <w:r w:rsidRPr="00FB22B3">
        <w:rPr>
          <w:rFonts w:ascii="Arial" w:hAnsi="Arial" w:cs="Arial"/>
          <w:color w:val="000000" w:themeColor="text1"/>
          <w:sz w:val="18"/>
          <w:szCs w:val="18"/>
        </w:rPr>
        <w:t>Por Horacio Andrés JARA (</w:t>
      </w:r>
      <w:r w:rsidRPr="00FB22B3">
        <w:rPr>
          <w:rFonts w:ascii="Arial" w:hAnsi="Arial" w:cs="Arial"/>
          <w:color w:val="767676"/>
          <w:sz w:val="18"/>
          <w:szCs w:val="18"/>
          <w:shd w:val="clear" w:color="auto" w:fill="FFFFFF"/>
        </w:rPr>
        <w:t>jarahoracio74@gmail.com)</w:t>
      </w:r>
      <w:r w:rsidRPr="00FB22B3">
        <w:rPr>
          <w:rFonts w:ascii="Arial" w:hAnsi="Arial" w:cs="Arial"/>
          <w:color w:val="000000" w:themeColor="text1"/>
          <w:sz w:val="18"/>
          <w:szCs w:val="18"/>
        </w:rPr>
        <w:t xml:space="preserve"> y Ester PAVON (esterpavon@yahoo.com.ar)</w:t>
      </w:r>
    </w:p>
    <w:p w:rsidR="00421419" w:rsidRPr="00693DC8" w:rsidRDefault="00421419" w:rsidP="00693DC8">
      <w:pPr>
        <w:pStyle w:val="NormalWeb"/>
        <w:jc w:val="both"/>
        <w:rPr>
          <w:rFonts w:ascii="Arial" w:hAnsi="Arial" w:cs="Arial"/>
        </w:rPr>
      </w:pPr>
    </w:p>
    <w:p w:rsidR="006E5BC0" w:rsidRPr="00693DC8" w:rsidRDefault="006E5BC0" w:rsidP="00693DC8">
      <w:pPr>
        <w:jc w:val="both"/>
        <w:rPr>
          <w:rFonts w:ascii="Arial" w:hAnsi="Arial" w:cs="Arial"/>
          <w:sz w:val="24"/>
          <w:szCs w:val="24"/>
        </w:rPr>
      </w:pPr>
    </w:p>
    <w:sectPr w:rsidR="006E5BC0" w:rsidRPr="00693DC8" w:rsidSect="00D96520">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816E1"/>
    <w:multiLevelType w:val="multilevel"/>
    <w:tmpl w:val="EC6A2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FC32C7"/>
    <w:multiLevelType w:val="multilevel"/>
    <w:tmpl w:val="9282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782907"/>
    <w:multiLevelType w:val="multilevel"/>
    <w:tmpl w:val="78BA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638"/>
    <w:rsid w:val="00421419"/>
    <w:rsid w:val="00693DC8"/>
    <w:rsid w:val="006E5BC0"/>
    <w:rsid w:val="00D42C5D"/>
    <w:rsid w:val="00D96520"/>
    <w:rsid w:val="00F7147B"/>
    <w:rsid w:val="00FB22B3"/>
    <w:rsid w:val="00FB663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FB6638"/>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FB6638"/>
    <w:rPr>
      <w:rFonts w:ascii="Times New Roman" w:eastAsia="Times New Roman" w:hAnsi="Times New Roman" w:cs="Times New Roman"/>
      <w:b/>
      <w:bCs/>
      <w:sz w:val="27"/>
      <w:szCs w:val="27"/>
      <w:lang w:eastAsia="es-ES"/>
    </w:rPr>
  </w:style>
  <w:style w:type="paragraph" w:styleId="NormalWeb">
    <w:name w:val="Normal (Web)"/>
    <w:basedOn w:val="Normal"/>
    <w:uiPriority w:val="99"/>
    <w:unhideWhenUsed/>
    <w:rsid w:val="00FB6638"/>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FB6638"/>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FB6638"/>
    <w:rPr>
      <w:rFonts w:ascii="Times New Roman" w:eastAsia="Times New Roman" w:hAnsi="Times New Roman" w:cs="Times New Roman"/>
      <w:b/>
      <w:bCs/>
      <w:sz w:val="27"/>
      <w:szCs w:val="27"/>
      <w:lang w:eastAsia="es-ES"/>
    </w:rPr>
  </w:style>
  <w:style w:type="paragraph" w:styleId="NormalWeb">
    <w:name w:val="Normal (Web)"/>
    <w:basedOn w:val="Normal"/>
    <w:uiPriority w:val="99"/>
    <w:unhideWhenUsed/>
    <w:rsid w:val="00FB6638"/>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088471">
      <w:bodyDiv w:val="1"/>
      <w:marLeft w:val="0"/>
      <w:marRight w:val="0"/>
      <w:marTop w:val="0"/>
      <w:marBottom w:val="0"/>
      <w:divBdr>
        <w:top w:val="none" w:sz="0" w:space="0" w:color="auto"/>
        <w:left w:val="none" w:sz="0" w:space="0" w:color="auto"/>
        <w:bottom w:val="none" w:sz="0" w:space="0" w:color="auto"/>
        <w:right w:val="none" w:sz="0" w:space="0" w:color="auto"/>
      </w:divBdr>
    </w:div>
    <w:div w:id="1919905173">
      <w:bodyDiv w:val="1"/>
      <w:marLeft w:val="0"/>
      <w:marRight w:val="0"/>
      <w:marTop w:val="0"/>
      <w:marBottom w:val="0"/>
      <w:divBdr>
        <w:top w:val="none" w:sz="0" w:space="0" w:color="auto"/>
        <w:left w:val="none" w:sz="0" w:space="0" w:color="auto"/>
        <w:bottom w:val="none" w:sz="0" w:space="0" w:color="auto"/>
        <w:right w:val="none" w:sz="0" w:space="0" w:color="auto"/>
      </w:divBdr>
    </w:div>
    <w:div w:id="209697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1686</Words>
  <Characters>9275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dc:creator>
  <cp:lastModifiedBy>Paolo</cp:lastModifiedBy>
  <cp:revision>5</cp:revision>
  <dcterms:created xsi:type="dcterms:W3CDTF">2026-09-02T00:33:00Z</dcterms:created>
  <dcterms:modified xsi:type="dcterms:W3CDTF">2026-09-02T01:04:00Z</dcterms:modified>
</cp:coreProperties>
</file>